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3541" w:rsidRPr="00B55935" w:rsidRDefault="00E53541" w:rsidP="00E53541">
      <w:pPr>
        <w:pStyle w:val="a5"/>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#92</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R4-190</w:t>
      </w:r>
      <w:r w:rsidR="00BE48C0" w:rsidRPr="00BE48C0">
        <w:rPr>
          <w:rFonts w:ascii="Calibri" w:eastAsia="新細明體" w:hAnsi="Calibri" w:cs="Arial"/>
          <w:noProof w:val="0"/>
          <w:sz w:val="24"/>
          <w:szCs w:val="24"/>
          <w:lang w:eastAsia="ja-JP"/>
        </w:rPr>
        <w:t>8825</w:t>
      </w:r>
      <w:bookmarkStart w:id="0" w:name="_GoBack"/>
      <w:bookmarkEnd w:id="0"/>
    </w:p>
    <w:p w:rsidR="00E53541" w:rsidRPr="00FE72F2" w:rsidRDefault="00E53541" w:rsidP="00E53541">
      <w:pPr>
        <w:tabs>
          <w:tab w:val="left" w:pos="1985"/>
        </w:tabs>
        <w:jc w:val="both"/>
        <w:rPr>
          <w:rFonts w:ascii="Calibri" w:eastAsia="新細明體" w:hAnsi="Calibri"/>
          <w:sz w:val="24"/>
        </w:rPr>
      </w:pPr>
      <w:r w:rsidRPr="007A3942">
        <w:rPr>
          <w:rFonts w:ascii="Calibri" w:eastAsia="新細明體" w:hAnsi="Calibri" w:cs="Arial"/>
          <w:b/>
          <w:sz w:val="24"/>
          <w:szCs w:val="24"/>
          <w:lang w:eastAsia="ja-JP"/>
        </w:rPr>
        <w:t>Ljubljana, Slovenia</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August</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26</w:t>
      </w:r>
      <w:r w:rsidRPr="00FC3563">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30</w:t>
      </w:r>
      <w:r w:rsidRPr="00FC3563">
        <w:rPr>
          <w:rFonts w:ascii="Calibri" w:eastAsia="新細明體" w:hAnsi="Calibri" w:cs="Arial"/>
          <w:b/>
          <w:sz w:val="24"/>
          <w:szCs w:val="24"/>
          <w:vertAlign w:val="superscript"/>
          <w:lang w:eastAsia="ja-JP"/>
        </w:rPr>
        <w:t>th</w:t>
      </w:r>
      <w:r w:rsidRPr="00FC3563">
        <w:rPr>
          <w:rFonts w:ascii="Calibri" w:eastAsia="新細明體" w:hAnsi="Calibri" w:cs="Arial"/>
          <w:b/>
          <w:sz w:val="24"/>
          <w:szCs w:val="24"/>
          <w:lang w:eastAsia="ja-JP"/>
        </w:rPr>
        <w:t>, 2019</w:t>
      </w: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6F7B23">
        <w:rPr>
          <w:rFonts w:cs="Arial"/>
          <w:b/>
          <w:bCs/>
        </w:rPr>
        <w:t>7.10.7.4</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6F7B23">
        <w:rPr>
          <w:rFonts w:cs="Arial"/>
          <w:b/>
          <w:bCs/>
        </w:rPr>
        <w:t>Discussion on TCI switch requirement</w:t>
      </w:r>
      <w:r w:rsidR="00967F64">
        <w:rPr>
          <w:rFonts w:cs="Arial"/>
          <w:b/>
          <w:bCs/>
        </w:rPr>
        <w:t xml:space="preserve"> </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rsidR="00B76E21" w:rsidRPr="00B76E21" w:rsidRDefault="00DD4B58" w:rsidP="00DD4B58">
      <w:pPr>
        <w:jc w:val="both"/>
      </w:pPr>
      <w:r w:rsidRPr="00B76E21">
        <w:t xml:space="preserve">In last RAN4 meeting, the </w:t>
      </w:r>
      <w:r w:rsidR="00CB522B">
        <w:t xml:space="preserve">delay </w:t>
      </w:r>
      <w:r w:rsidR="00B76E21">
        <w:t xml:space="preserve">requirement of </w:t>
      </w:r>
      <w:r w:rsidR="00CB522B">
        <w:t xml:space="preserve">receiving on new </w:t>
      </w:r>
      <w:r w:rsidR="00B76E21">
        <w:t>TCI state switch</w:t>
      </w:r>
      <w:r w:rsidRPr="00B76E21">
        <w:t xml:space="preserve"> was discussed.</w:t>
      </w:r>
      <w:r w:rsidR="00CB522B">
        <w:t xml:space="preserve"> </w:t>
      </w:r>
      <w:r w:rsidR="00C92428">
        <w:t>However,</w:t>
      </w:r>
      <w:r w:rsidR="000254AE">
        <w:t xml:space="preserve"> we found spec </w:t>
      </w:r>
      <w:r w:rsidR="00087064">
        <w:t>misalignment</w:t>
      </w:r>
      <w:r w:rsidR="000254AE">
        <w:t xml:space="preserve"> between TS38.</w:t>
      </w:r>
      <w:r w:rsidR="00F3430E">
        <w:t>133</w:t>
      </w:r>
      <w:r w:rsidR="000254AE">
        <w:t xml:space="preserve"> and TS38.</w:t>
      </w:r>
      <w:r w:rsidR="00F3430E">
        <w:t>213</w:t>
      </w:r>
      <w:r w:rsidR="000254AE">
        <w:t xml:space="preserve"> on UE’s behavior</w:t>
      </w:r>
      <w:r w:rsidR="00C92428">
        <w:t xml:space="preserve"> of receiving on old TCI state during TCI state switching. </w:t>
      </w:r>
    </w:p>
    <w:p w:rsidR="008B201E" w:rsidRPr="008B201E" w:rsidRDefault="00F47D16" w:rsidP="00F47D16">
      <w:pPr>
        <w:pStyle w:val="1"/>
        <w:numPr>
          <w:ilvl w:val="0"/>
          <w:numId w:val="2"/>
        </w:numPr>
        <w:rPr>
          <w:rFonts w:ascii="Calibri" w:hAnsi="Calibri"/>
        </w:rPr>
      </w:pPr>
      <w:r>
        <w:rPr>
          <w:rFonts w:ascii="Calibri" w:hAnsi="Calibri"/>
        </w:rPr>
        <w:t>Receiving on the old TCI state</w:t>
      </w:r>
    </w:p>
    <w:p w:rsidR="000761C5" w:rsidRDefault="0098043D" w:rsidP="00F47D16">
      <w:pPr>
        <w:rPr>
          <w:lang w:val="en-GB" w:eastAsia="en-US"/>
        </w:rPr>
      </w:pPr>
      <w:r w:rsidRPr="008B201E">
        <w:rPr>
          <w:noProof/>
          <w:lang w:eastAsia="zh-TW"/>
        </w:rPr>
        <mc:AlternateContent>
          <mc:Choice Requires="wps">
            <w:drawing>
              <wp:anchor distT="45720" distB="45720" distL="114300" distR="114300" simplePos="0" relativeHeight="251659264" behindDoc="0" locked="0" layoutInCell="1" allowOverlap="1" wp14:anchorId="439CEB56" wp14:editId="75FD1E2D">
                <wp:simplePos x="0" y="0"/>
                <wp:positionH relativeFrom="margin">
                  <wp:align>right</wp:align>
                </wp:positionH>
                <wp:positionV relativeFrom="paragraph">
                  <wp:posOffset>447040</wp:posOffset>
                </wp:positionV>
                <wp:extent cx="6078220" cy="1404620"/>
                <wp:effectExtent l="0" t="0" r="1778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404620"/>
                        </a:xfrm>
                        <a:prstGeom prst="rect">
                          <a:avLst/>
                        </a:prstGeom>
                        <a:solidFill>
                          <a:srgbClr val="FFFFFF"/>
                        </a:solidFill>
                        <a:ln w="9525">
                          <a:solidFill>
                            <a:srgbClr val="000000"/>
                          </a:solidFill>
                          <a:miter lim="800000"/>
                          <a:headEnd/>
                          <a:tailEnd/>
                        </a:ln>
                      </wps:spPr>
                      <wps:txbx>
                        <w:txbxContent>
                          <w:p w:rsidR="008B201E" w:rsidRPr="00BE78B0" w:rsidRDefault="008B201E" w:rsidP="008B201E">
                            <w:r w:rsidRPr="00BE78B0">
                              <w:rPr>
                                <w:rFonts w:eastAsia="Malgun Gothic"/>
                              </w:rPr>
                              <w:t>If the target TCI state is known, upon</w:t>
                            </w:r>
                            <w:r w:rsidRPr="00BE78B0">
                              <w:t xml:space="preserve"> receiv</w:t>
                            </w:r>
                            <w:r w:rsidRPr="00BE78B0">
                              <w:rPr>
                                <w:rFonts w:eastAsia="Malgun Gothic"/>
                              </w:rPr>
                              <w:t>ing PDSCH carrying</w:t>
                            </w:r>
                            <w:r w:rsidRPr="00BE78B0">
                              <w:t xml:space="preserve"> </w:t>
                            </w:r>
                            <w:r w:rsidRPr="00BE78B0">
                              <w:rPr>
                                <w:rFonts w:eastAsia="Malgun Gothic"/>
                              </w:rPr>
                              <w:t>MAC-CE activation command at slot n</w:t>
                            </w:r>
                            <w:r w:rsidRPr="00BE78B0">
                              <w:t>, UE shall be able to receive PD</w:t>
                            </w:r>
                            <w:r w:rsidRPr="00BE78B0">
                              <w:rPr>
                                <w:rFonts w:eastAsia="Malgun Gothic"/>
                              </w:rPr>
                              <w:t>C</w:t>
                            </w:r>
                            <w:r w:rsidRPr="00BE78B0">
                              <w:t xml:space="preserve">CH on the new </w:t>
                            </w:r>
                            <w:r w:rsidRPr="00BE78B0">
                              <w:rPr>
                                <w:rFonts w:eastAsia="Malgun Gothic"/>
                              </w:rPr>
                              <w:t>beam</w:t>
                            </w:r>
                            <w:r w:rsidRPr="00BE78B0">
                              <w:t xml:space="preserve"> </w:t>
                            </w:r>
                            <w:r w:rsidRPr="00BE78B0">
                              <w:rPr>
                                <w:rFonts w:eastAsia="Malgun Gothic"/>
                              </w:rPr>
                              <w:t>of</w:t>
                            </w:r>
                            <w:r w:rsidRPr="00BE78B0">
                              <w:t xml:space="preserve"> the serving cell on which </w:t>
                            </w:r>
                            <w:r w:rsidRPr="00BE78B0">
                              <w:rPr>
                                <w:rFonts w:eastAsia="Malgun Gothic"/>
                              </w:rPr>
                              <w:t>TCI state</w:t>
                            </w:r>
                            <w:r w:rsidRPr="00BE78B0">
                              <w:t xml:space="preserve"> switch occurs no later than at slot n+</w:t>
                            </w:r>
                            <w:r w:rsidRPr="00BE78B0">
                              <w:rPr>
                                <w:rFonts w:eastAsia="Malgun Gothic"/>
                              </w:rPr>
                              <w:t xml:space="preserve"> T</w:t>
                            </w:r>
                            <w:r w:rsidRPr="00BE78B0">
                              <w:rPr>
                                <w:rFonts w:eastAsia="Malgun Gothic"/>
                                <w:vertAlign w:val="subscript"/>
                              </w:rPr>
                              <w:t>HARQ</w:t>
                            </w:r>
                            <w:r w:rsidRPr="00BE78B0">
                              <w:rPr>
                                <w:rFonts w:eastAsia="Malgun Gothic"/>
                              </w:rPr>
                              <w:t xml:space="preserve"> +3 ms +TO</w:t>
                            </w:r>
                            <w:r w:rsidRPr="00BE78B0">
                              <w:rPr>
                                <w:rFonts w:eastAsia="Malgun Gothic"/>
                                <w:vertAlign w:val="subscript"/>
                              </w:rPr>
                              <w:t>k</w:t>
                            </w:r>
                            <w:r w:rsidRPr="00BE78B0">
                              <w:rPr>
                                <w:rFonts w:eastAsia="Malgun Gothic"/>
                              </w:rPr>
                              <w:t>*(T</w:t>
                            </w:r>
                            <w:r w:rsidRPr="00BE78B0">
                              <w:rPr>
                                <w:rFonts w:eastAsia="Malgun Gothic"/>
                                <w:vertAlign w:val="subscript"/>
                              </w:rPr>
                              <w:t xml:space="preserve">first-SSB </w:t>
                            </w:r>
                            <w:r w:rsidRPr="00BE78B0">
                              <w:rPr>
                                <w:rFonts w:eastAsia="Malgun Gothic"/>
                              </w:rPr>
                              <w:t>+ T</w:t>
                            </w:r>
                            <w:r w:rsidRPr="00BE78B0">
                              <w:rPr>
                                <w:rFonts w:eastAsia="Malgun Gothic"/>
                                <w:vertAlign w:val="subscript"/>
                              </w:rPr>
                              <w:t>SSB-proc</w:t>
                            </w:r>
                            <w:r w:rsidRPr="00BE78B0">
                              <w:rPr>
                                <w:rFonts w:eastAsia="Malgun Gothic"/>
                              </w:rPr>
                              <w:t>)</w:t>
                            </w:r>
                            <w:r w:rsidRPr="00BE78B0">
                              <w:t xml:space="preserve">. </w:t>
                            </w:r>
                            <w:r w:rsidRPr="008B201E">
                              <w:rPr>
                                <w:highlight w:val="yellow"/>
                              </w:rPr>
                              <w:t>The UE shall be able to receive on the old TCI state until slot n+</w:t>
                            </w:r>
                            <w:r w:rsidRPr="008B201E">
                              <w:rPr>
                                <w:rFonts w:eastAsia="Malgun Gothic"/>
                                <w:highlight w:val="yellow"/>
                              </w:rPr>
                              <w:t xml:space="preserve"> T</w:t>
                            </w:r>
                            <w:r w:rsidRPr="008B201E">
                              <w:rPr>
                                <w:rFonts w:eastAsia="Malgun Gothic"/>
                                <w:highlight w:val="yellow"/>
                                <w:vertAlign w:val="subscript"/>
                              </w:rPr>
                              <w:t>HARQ</w:t>
                            </w:r>
                            <w:r w:rsidRPr="008B201E">
                              <w:rPr>
                                <w:rFonts w:eastAsia="Malgun Gothic"/>
                                <w:highlight w:val="yellow"/>
                              </w:rPr>
                              <w:t xml:space="preserve"> +3 ms +TO</w:t>
                            </w:r>
                            <w:r w:rsidRPr="008B201E">
                              <w:rPr>
                                <w:rFonts w:eastAsia="Malgun Gothic"/>
                                <w:highlight w:val="yellow"/>
                                <w:vertAlign w:val="subscript"/>
                              </w:rPr>
                              <w:t>k</w:t>
                            </w:r>
                            <w:r w:rsidRPr="008B201E">
                              <w:rPr>
                                <w:rFonts w:eastAsia="Malgun Gothic"/>
                                <w:highlight w:val="yellow"/>
                              </w:rPr>
                              <w:t>*(T</w:t>
                            </w:r>
                            <w:r w:rsidRPr="008B201E">
                              <w:rPr>
                                <w:rFonts w:eastAsia="Malgun Gothic"/>
                                <w:highlight w:val="yellow"/>
                                <w:vertAlign w:val="subscript"/>
                              </w:rPr>
                              <w:t>first-SSB</w:t>
                            </w:r>
                            <w:r w:rsidRPr="008B201E">
                              <w:rPr>
                                <w:highlight w:val="yellow"/>
                              </w:rPr>
                              <w:t>).</w:t>
                            </w:r>
                          </w:p>
                          <w:p w:rsidR="008B201E" w:rsidRDefault="008B201E" w:rsidP="008B201E">
                            <w:r>
                              <w:t>……</w:t>
                            </w:r>
                          </w:p>
                          <w:p w:rsidR="008B201E" w:rsidRDefault="008B201E">
                            <w:r w:rsidRPr="00BE78B0">
                              <w:rPr>
                                <w:rFonts w:eastAsia="Malgun Gothic"/>
                              </w:rPr>
                              <w:t>If the target TCI state is unknown, upon</w:t>
                            </w:r>
                            <w:r w:rsidRPr="00BE78B0">
                              <w:t xml:space="preserve"> receiv</w:t>
                            </w:r>
                            <w:r w:rsidRPr="00BE78B0">
                              <w:rPr>
                                <w:rFonts w:eastAsia="Malgun Gothic"/>
                              </w:rPr>
                              <w:t>ing PDSCH carrying</w:t>
                            </w:r>
                            <w:r w:rsidRPr="00BE78B0">
                              <w:t xml:space="preserve"> </w:t>
                            </w:r>
                            <w:r w:rsidRPr="00BE78B0">
                              <w:rPr>
                                <w:rFonts w:eastAsia="Malgun Gothic"/>
                              </w:rPr>
                              <w:t>MAC-CE activation command at slot n</w:t>
                            </w:r>
                            <w:r w:rsidRPr="00BE78B0">
                              <w:t>, UE shall be able to receive PD</w:t>
                            </w:r>
                            <w:r w:rsidRPr="00BE78B0">
                              <w:rPr>
                                <w:rFonts w:eastAsia="Malgun Gothic"/>
                              </w:rPr>
                              <w:t>C</w:t>
                            </w:r>
                            <w:r w:rsidRPr="00BE78B0">
                              <w:t xml:space="preserve">CH on the new </w:t>
                            </w:r>
                            <w:r w:rsidRPr="00BE78B0">
                              <w:rPr>
                                <w:rFonts w:eastAsia="Malgun Gothic"/>
                              </w:rPr>
                              <w:t>beam</w:t>
                            </w:r>
                            <w:r w:rsidRPr="00BE78B0">
                              <w:t xml:space="preserve"> </w:t>
                            </w:r>
                            <w:r w:rsidRPr="00BE78B0">
                              <w:rPr>
                                <w:rFonts w:eastAsia="Malgun Gothic"/>
                              </w:rPr>
                              <w:t>of</w:t>
                            </w:r>
                            <w:r w:rsidRPr="00BE78B0">
                              <w:t xml:space="preserve"> the serving cell on which </w:t>
                            </w:r>
                            <w:r w:rsidRPr="00BE78B0">
                              <w:rPr>
                                <w:rFonts w:eastAsia="Malgun Gothic"/>
                              </w:rPr>
                              <w:t>TCI state</w:t>
                            </w:r>
                            <w:r w:rsidRPr="00BE78B0">
                              <w:t xml:space="preserve"> switch occurs no later than at slot n+</w:t>
                            </w:r>
                            <w:r w:rsidRPr="00BE78B0">
                              <w:rPr>
                                <w:rFonts w:eastAsia="Malgun Gothic"/>
                              </w:rPr>
                              <w:t xml:space="preserve"> T</w:t>
                            </w:r>
                            <w:r w:rsidRPr="00BE78B0">
                              <w:rPr>
                                <w:rFonts w:eastAsia="Malgun Gothic"/>
                                <w:vertAlign w:val="subscript"/>
                              </w:rPr>
                              <w:t>HARQ</w:t>
                            </w:r>
                            <w:r w:rsidRPr="00BE78B0">
                              <w:rPr>
                                <w:rFonts w:eastAsia="Malgun Gothic"/>
                              </w:rPr>
                              <w:t xml:space="preserve"> +3 ms + </w:t>
                            </w:r>
                            <w:r w:rsidRPr="00BE78B0">
                              <w:rPr>
                                <w:lang w:eastAsia="en-GB"/>
                              </w:rPr>
                              <w:t>T</w:t>
                            </w:r>
                            <w:r w:rsidRPr="00BE78B0">
                              <w:rPr>
                                <w:vertAlign w:val="subscript"/>
                                <w:lang w:eastAsia="en-GB"/>
                              </w:rPr>
                              <w:t xml:space="preserve">L1-RSRP </w:t>
                            </w:r>
                            <w:r w:rsidRPr="00BE78B0">
                              <w:rPr>
                                <w:rFonts w:eastAsia="Malgun Gothic"/>
                              </w:rPr>
                              <w:t>+TO</w:t>
                            </w:r>
                            <w:r w:rsidRPr="00BE78B0">
                              <w:rPr>
                                <w:rFonts w:eastAsia="Malgun Gothic"/>
                                <w:vertAlign w:val="subscript"/>
                              </w:rPr>
                              <w:t>uk</w:t>
                            </w:r>
                            <w:r w:rsidRPr="00BE78B0">
                              <w:rPr>
                                <w:rFonts w:eastAsia="Malgun Gothic"/>
                              </w:rPr>
                              <w:t>*(T</w:t>
                            </w:r>
                            <w:r w:rsidRPr="00BE78B0">
                              <w:rPr>
                                <w:rFonts w:eastAsia="Malgun Gothic"/>
                                <w:vertAlign w:val="subscript"/>
                              </w:rPr>
                              <w:t>first-SSB</w:t>
                            </w:r>
                            <w:r w:rsidRPr="00BE78B0">
                              <w:rPr>
                                <w:rFonts w:eastAsia="Malgun Gothic"/>
                              </w:rPr>
                              <w:t>+ T</w:t>
                            </w:r>
                            <w:r w:rsidRPr="00BE78B0">
                              <w:rPr>
                                <w:rFonts w:eastAsia="Malgun Gothic"/>
                                <w:vertAlign w:val="subscript"/>
                              </w:rPr>
                              <w:t>SSB-proc</w:t>
                            </w:r>
                            <w:r w:rsidRPr="00BE78B0">
                              <w:rPr>
                                <w:rFonts w:eastAsia="Malgun Gothic"/>
                              </w:rPr>
                              <w:t>)</w:t>
                            </w:r>
                            <w:r w:rsidRPr="00BE78B0">
                              <w:rPr>
                                <w:vertAlign w:val="subscript"/>
                                <w:lang w:eastAsia="en-GB"/>
                              </w:rPr>
                              <w:t xml:space="preserve"> </w:t>
                            </w:r>
                            <w:r w:rsidRPr="00BE78B0">
                              <w:t xml:space="preserve">. </w:t>
                            </w:r>
                            <w:r w:rsidRPr="008B201E">
                              <w:rPr>
                                <w:highlight w:val="yellow"/>
                              </w:rPr>
                              <w:t>The UE shall be able to receive on the old TCI state until slot n+</w:t>
                            </w:r>
                            <w:r w:rsidRPr="008B201E">
                              <w:rPr>
                                <w:rFonts w:eastAsia="Malgun Gothic"/>
                                <w:highlight w:val="yellow"/>
                              </w:rPr>
                              <w:t xml:space="preserve"> T</w:t>
                            </w:r>
                            <w:r w:rsidRPr="008B201E">
                              <w:rPr>
                                <w:rFonts w:eastAsia="Malgun Gothic"/>
                                <w:highlight w:val="yellow"/>
                                <w:vertAlign w:val="subscript"/>
                              </w:rPr>
                              <w:t>HARQ</w:t>
                            </w:r>
                            <w:r w:rsidRPr="008B201E">
                              <w:rPr>
                                <w:rFonts w:eastAsia="Malgun Gothic"/>
                                <w:highlight w:val="yellow"/>
                              </w:rPr>
                              <w:t xml:space="preserve"> +3 ms+ </w:t>
                            </w:r>
                            <w:r w:rsidRPr="008B201E">
                              <w:rPr>
                                <w:highlight w:val="yellow"/>
                                <w:lang w:eastAsia="en-GB"/>
                              </w:rPr>
                              <w:t>T</w:t>
                            </w:r>
                            <w:r w:rsidRPr="008B201E">
                              <w:rPr>
                                <w:highlight w:val="yellow"/>
                                <w:vertAlign w:val="subscript"/>
                                <w:lang w:eastAsia="en-GB"/>
                              </w:rPr>
                              <w:t>L1-RSRP</w:t>
                            </w:r>
                            <w:r w:rsidRPr="008B201E">
                              <w:rPr>
                                <w:rFonts w:eastAsia="Malgun Gothic"/>
                                <w:highlight w:val="yellow"/>
                              </w:rPr>
                              <w:t xml:space="preserve"> +TO</w:t>
                            </w:r>
                            <w:r w:rsidRPr="008B201E">
                              <w:rPr>
                                <w:rFonts w:eastAsia="Malgun Gothic"/>
                                <w:highlight w:val="yellow"/>
                                <w:vertAlign w:val="subscript"/>
                              </w:rPr>
                              <w:t>k</w:t>
                            </w:r>
                            <w:r w:rsidRPr="008B201E">
                              <w:rPr>
                                <w:rFonts w:eastAsia="Malgun Gothic"/>
                                <w:highlight w:val="yellow"/>
                              </w:rPr>
                              <w:t>*(T</w:t>
                            </w:r>
                            <w:r w:rsidRPr="008B201E">
                              <w:rPr>
                                <w:rFonts w:eastAsia="Malgun Gothic"/>
                                <w:highlight w:val="yellow"/>
                                <w:vertAlign w:val="subscript"/>
                              </w:rPr>
                              <w:t>first-SSB</w:t>
                            </w:r>
                            <w:r w:rsidRPr="008B201E">
                              <w:rPr>
                                <w:highlight w:val="yellow"/>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39CEB56" id="_x0000_t202" coordsize="21600,21600" o:spt="202" path="m,l,21600r21600,l21600,xe">
                <v:stroke joinstyle="miter"/>
                <v:path gradientshapeok="t" o:connecttype="rect"/>
              </v:shapetype>
              <v:shape id="Text Box 2" o:spid="_x0000_s1026" type="#_x0000_t202" style="position:absolute;margin-left:427.4pt;margin-top:35.2pt;width:478.6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">
                <v:textbox style="mso-fit-shape-to-text:t">
                  <w:txbxContent>
                    <w:p w:rsidR="008B201E" w:rsidRPr="00BE78B0" w:rsidRDefault="008B201E" w:rsidP="008B201E">
                      <w:r w:rsidRPr="00BE78B0">
                        <w:rPr>
                          <w:rFonts w:eastAsia="Malgun Gothic"/>
                        </w:rPr>
                        <w:t>If the target TCI state is known, upon</w:t>
                      </w:r>
                      <w:r w:rsidRPr="00BE78B0">
                        <w:t xml:space="preserve"> receiv</w:t>
                      </w:r>
                      <w:r w:rsidRPr="00BE78B0">
                        <w:rPr>
                          <w:rFonts w:eastAsia="Malgun Gothic"/>
                        </w:rPr>
                        <w:t>ing PDSCH carrying</w:t>
                      </w:r>
                      <w:r w:rsidRPr="00BE78B0">
                        <w:t xml:space="preserve"> </w:t>
                      </w:r>
                      <w:r w:rsidRPr="00BE78B0">
                        <w:rPr>
                          <w:rFonts w:eastAsia="Malgun Gothic"/>
                        </w:rPr>
                        <w:t>MAC-CE activation command at slot n</w:t>
                      </w:r>
                      <w:r w:rsidRPr="00BE78B0">
                        <w:t>, UE shall be able to receive PD</w:t>
                      </w:r>
                      <w:r w:rsidRPr="00BE78B0">
                        <w:rPr>
                          <w:rFonts w:eastAsia="Malgun Gothic"/>
                        </w:rPr>
                        <w:t>C</w:t>
                      </w:r>
                      <w:r w:rsidRPr="00BE78B0">
                        <w:t xml:space="preserve">CH on the new </w:t>
                      </w:r>
                      <w:r w:rsidRPr="00BE78B0">
                        <w:rPr>
                          <w:rFonts w:eastAsia="Malgun Gothic"/>
                        </w:rPr>
                        <w:t>beam</w:t>
                      </w:r>
                      <w:r w:rsidRPr="00BE78B0">
                        <w:t xml:space="preserve"> </w:t>
                      </w:r>
                      <w:r w:rsidRPr="00BE78B0">
                        <w:rPr>
                          <w:rFonts w:eastAsia="Malgun Gothic"/>
                        </w:rPr>
                        <w:t>of</w:t>
                      </w:r>
                      <w:r w:rsidRPr="00BE78B0">
                        <w:t xml:space="preserve"> the serving cell on which </w:t>
                      </w:r>
                      <w:r w:rsidRPr="00BE78B0">
                        <w:rPr>
                          <w:rFonts w:eastAsia="Malgun Gothic"/>
                        </w:rPr>
                        <w:t>TCI state</w:t>
                      </w:r>
                      <w:r w:rsidRPr="00BE78B0">
                        <w:t xml:space="preserve"> switch occurs no later than at slot n+</w:t>
                      </w:r>
                      <w:r w:rsidRPr="00BE78B0">
                        <w:rPr>
                          <w:rFonts w:eastAsia="Malgun Gothic"/>
                        </w:rPr>
                        <w:t xml:space="preserve"> T</w:t>
                      </w:r>
                      <w:r w:rsidRPr="00BE78B0">
                        <w:rPr>
                          <w:rFonts w:eastAsia="Malgun Gothic"/>
                          <w:vertAlign w:val="subscript"/>
                        </w:rPr>
                        <w:t>HARQ</w:t>
                      </w:r>
                      <w:r w:rsidRPr="00BE78B0">
                        <w:rPr>
                          <w:rFonts w:eastAsia="Malgun Gothic"/>
                        </w:rPr>
                        <w:t xml:space="preserve"> +3 ms +TO</w:t>
                      </w:r>
                      <w:r w:rsidRPr="00BE78B0">
                        <w:rPr>
                          <w:rFonts w:eastAsia="Malgun Gothic"/>
                          <w:vertAlign w:val="subscript"/>
                        </w:rPr>
                        <w:t>k</w:t>
                      </w:r>
                      <w:r w:rsidRPr="00BE78B0">
                        <w:rPr>
                          <w:rFonts w:eastAsia="Malgun Gothic"/>
                        </w:rPr>
                        <w:t>*(T</w:t>
                      </w:r>
                      <w:r w:rsidRPr="00BE78B0">
                        <w:rPr>
                          <w:rFonts w:eastAsia="Malgun Gothic"/>
                          <w:vertAlign w:val="subscript"/>
                        </w:rPr>
                        <w:t xml:space="preserve">first-SSB </w:t>
                      </w:r>
                      <w:r w:rsidRPr="00BE78B0">
                        <w:rPr>
                          <w:rFonts w:eastAsia="Malgun Gothic"/>
                        </w:rPr>
                        <w:t>+ T</w:t>
                      </w:r>
                      <w:r w:rsidRPr="00BE78B0">
                        <w:rPr>
                          <w:rFonts w:eastAsia="Malgun Gothic"/>
                          <w:vertAlign w:val="subscript"/>
                        </w:rPr>
                        <w:t>SSB-proc</w:t>
                      </w:r>
                      <w:r w:rsidRPr="00BE78B0">
                        <w:rPr>
                          <w:rFonts w:eastAsia="Malgun Gothic"/>
                        </w:rPr>
                        <w:t>)</w:t>
                      </w:r>
                      <w:r w:rsidRPr="00BE78B0">
                        <w:t xml:space="preserve">. </w:t>
                      </w:r>
                      <w:r w:rsidRPr="008B201E">
                        <w:rPr>
                          <w:highlight w:val="yellow"/>
                        </w:rPr>
                        <w:t>The UE shall be able to receive on the old TCI state until slot n+</w:t>
                      </w:r>
                      <w:r w:rsidRPr="008B201E">
                        <w:rPr>
                          <w:rFonts w:eastAsia="Malgun Gothic"/>
                          <w:highlight w:val="yellow"/>
                        </w:rPr>
                        <w:t xml:space="preserve"> T</w:t>
                      </w:r>
                      <w:r w:rsidRPr="008B201E">
                        <w:rPr>
                          <w:rFonts w:eastAsia="Malgun Gothic"/>
                          <w:highlight w:val="yellow"/>
                          <w:vertAlign w:val="subscript"/>
                        </w:rPr>
                        <w:t>HARQ</w:t>
                      </w:r>
                      <w:r w:rsidRPr="008B201E">
                        <w:rPr>
                          <w:rFonts w:eastAsia="Malgun Gothic"/>
                          <w:highlight w:val="yellow"/>
                        </w:rPr>
                        <w:t xml:space="preserve"> +3 ms +TO</w:t>
                      </w:r>
                      <w:r w:rsidRPr="008B201E">
                        <w:rPr>
                          <w:rFonts w:eastAsia="Malgun Gothic"/>
                          <w:highlight w:val="yellow"/>
                          <w:vertAlign w:val="subscript"/>
                        </w:rPr>
                        <w:t>k</w:t>
                      </w:r>
                      <w:r w:rsidRPr="008B201E">
                        <w:rPr>
                          <w:rFonts w:eastAsia="Malgun Gothic"/>
                          <w:highlight w:val="yellow"/>
                        </w:rPr>
                        <w:t>*(T</w:t>
                      </w:r>
                      <w:r w:rsidRPr="008B201E">
                        <w:rPr>
                          <w:rFonts w:eastAsia="Malgun Gothic"/>
                          <w:highlight w:val="yellow"/>
                          <w:vertAlign w:val="subscript"/>
                        </w:rPr>
                        <w:t>first-SSB</w:t>
                      </w:r>
                      <w:r w:rsidRPr="008B201E">
                        <w:rPr>
                          <w:highlight w:val="yellow"/>
                        </w:rPr>
                        <w:t>).</w:t>
                      </w:r>
                    </w:p>
                    <w:p w:rsidR="008B201E" w:rsidRDefault="008B201E" w:rsidP="008B201E">
                      <w:r>
                        <w:t>……</w:t>
                      </w:r>
                    </w:p>
                    <w:p w:rsidR="008B201E" w:rsidRDefault="008B201E">
                      <w:r w:rsidRPr="00BE78B0">
                        <w:rPr>
                          <w:rFonts w:eastAsia="Malgun Gothic"/>
                        </w:rPr>
                        <w:t>If the target TCI state is unknown, upon</w:t>
                      </w:r>
                      <w:r w:rsidRPr="00BE78B0">
                        <w:t xml:space="preserve"> receiv</w:t>
                      </w:r>
                      <w:r w:rsidRPr="00BE78B0">
                        <w:rPr>
                          <w:rFonts w:eastAsia="Malgun Gothic"/>
                        </w:rPr>
                        <w:t>ing PDSCH carrying</w:t>
                      </w:r>
                      <w:r w:rsidRPr="00BE78B0">
                        <w:t xml:space="preserve"> </w:t>
                      </w:r>
                      <w:r w:rsidRPr="00BE78B0">
                        <w:rPr>
                          <w:rFonts w:eastAsia="Malgun Gothic"/>
                        </w:rPr>
                        <w:t>MAC-CE activation command at slot n</w:t>
                      </w:r>
                      <w:r w:rsidRPr="00BE78B0">
                        <w:t>, UE shall be able to receive PD</w:t>
                      </w:r>
                      <w:r w:rsidRPr="00BE78B0">
                        <w:rPr>
                          <w:rFonts w:eastAsia="Malgun Gothic"/>
                        </w:rPr>
                        <w:t>C</w:t>
                      </w:r>
                      <w:r w:rsidRPr="00BE78B0">
                        <w:t xml:space="preserve">CH on the new </w:t>
                      </w:r>
                      <w:r w:rsidRPr="00BE78B0">
                        <w:rPr>
                          <w:rFonts w:eastAsia="Malgun Gothic"/>
                        </w:rPr>
                        <w:t>beam</w:t>
                      </w:r>
                      <w:r w:rsidRPr="00BE78B0">
                        <w:t xml:space="preserve"> </w:t>
                      </w:r>
                      <w:r w:rsidRPr="00BE78B0">
                        <w:rPr>
                          <w:rFonts w:eastAsia="Malgun Gothic"/>
                        </w:rPr>
                        <w:t>of</w:t>
                      </w:r>
                      <w:r w:rsidRPr="00BE78B0">
                        <w:t xml:space="preserve"> the serving cell on which </w:t>
                      </w:r>
                      <w:r w:rsidRPr="00BE78B0">
                        <w:rPr>
                          <w:rFonts w:eastAsia="Malgun Gothic"/>
                        </w:rPr>
                        <w:t>TCI state</w:t>
                      </w:r>
                      <w:r w:rsidRPr="00BE78B0">
                        <w:t xml:space="preserve"> switch occurs no later than at slot n+</w:t>
                      </w:r>
                      <w:r w:rsidRPr="00BE78B0">
                        <w:rPr>
                          <w:rFonts w:eastAsia="Malgun Gothic"/>
                        </w:rPr>
                        <w:t xml:space="preserve"> T</w:t>
                      </w:r>
                      <w:r w:rsidRPr="00BE78B0">
                        <w:rPr>
                          <w:rFonts w:eastAsia="Malgun Gothic"/>
                          <w:vertAlign w:val="subscript"/>
                        </w:rPr>
                        <w:t>HARQ</w:t>
                      </w:r>
                      <w:r w:rsidRPr="00BE78B0">
                        <w:rPr>
                          <w:rFonts w:eastAsia="Malgun Gothic"/>
                        </w:rPr>
                        <w:t xml:space="preserve"> +3 ms + </w:t>
                      </w:r>
                      <w:r w:rsidRPr="00BE78B0">
                        <w:rPr>
                          <w:lang w:eastAsia="en-GB"/>
                        </w:rPr>
                        <w:t>T</w:t>
                      </w:r>
                      <w:r w:rsidRPr="00BE78B0">
                        <w:rPr>
                          <w:vertAlign w:val="subscript"/>
                          <w:lang w:eastAsia="en-GB"/>
                        </w:rPr>
                        <w:t xml:space="preserve">L1-RSRP </w:t>
                      </w:r>
                      <w:r w:rsidRPr="00BE78B0">
                        <w:rPr>
                          <w:rFonts w:eastAsia="Malgun Gothic"/>
                        </w:rPr>
                        <w:t>+TO</w:t>
                      </w:r>
                      <w:r w:rsidRPr="00BE78B0">
                        <w:rPr>
                          <w:rFonts w:eastAsia="Malgun Gothic"/>
                          <w:vertAlign w:val="subscript"/>
                        </w:rPr>
                        <w:t>uk</w:t>
                      </w:r>
                      <w:r w:rsidRPr="00BE78B0">
                        <w:rPr>
                          <w:rFonts w:eastAsia="Malgun Gothic"/>
                        </w:rPr>
                        <w:t>*(T</w:t>
                      </w:r>
                      <w:r w:rsidRPr="00BE78B0">
                        <w:rPr>
                          <w:rFonts w:eastAsia="Malgun Gothic"/>
                          <w:vertAlign w:val="subscript"/>
                        </w:rPr>
                        <w:t>first-SSB</w:t>
                      </w:r>
                      <w:r w:rsidRPr="00BE78B0">
                        <w:rPr>
                          <w:rFonts w:eastAsia="Malgun Gothic"/>
                        </w:rPr>
                        <w:t>+ T</w:t>
                      </w:r>
                      <w:r w:rsidRPr="00BE78B0">
                        <w:rPr>
                          <w:rFonts w:eastAsia="Malgun Gothic"/>
                          <w:vertAlign w:val="subscript"/>
                        </w:rPr>
                        <w:t>SSB-proc</w:t>
                      </w:r>
                      <w:r w:rsidRPr="00BE78B0">
                        <w:rPr>
                          <w:rFonts w:eastAsia="Malgun Gothic"/>
                        </w:rPr>
                        <w:t>)</w:t>
                      </w:r>
                      <w:r w:rsidRPr="00BE78B0">
                        <w:rPr>
                          <w:vertAlign w:val="subscript"/>
                          <w:lang w:eastAsia="en-GB"/>
                        </w:rPr>
                        <w:t xml:space="preserve"> </w:t>
                      </w:r>
                      <w:r w:rsidRPr="00BE78B0">
                        <w:t xml:space="preserve">. </w:t>
                      </w:r>
                      <w:r w:rsidRPr="008B201E">
                        <w:rPr>
                          <w:highlight w:val="yellow"/>
                        </w:rPr>
                        <w:t>The UE shall be able to receive on the old TCI state until slot n+</w:t>
                      </w:r>
                      <w:r w:rsidRPr="008B201E">
                        <w:rPr>
                          <w:rFonts w:eastAsia="Malgun Gothic"/>
                          <w:highlight w:val="yellow"/>
                        </w:rPr>
                        <w:t xml:space="preserve"> T</w:t>
                      </w:r>
                      <w:r w:rsidRPr="008B201E">
                        <w:rPr>
                          <w:rFonts w:eastAsia="Malgun Gothic"/>
                          <w:highlight w:val="yellow"/>
                          <w:vertAlign w:val="subscript"/>
                        </w:rPr>
                        <w:t>HARQ</w:t>
                      </w:r>
                      <w:r w:rsidRPr="008B201E">
                        <w:rPr>
                          <w:rFonts w:eastAsia="Malgun Gothic"/>
                          <w:highlight w:val="yellow"/>
                        </w:rPr>
                        <w:t xml:space="preserve"> +3 ms+ </w:t>
                      </w:r>
                      <w:r w:rsidRPr="008B201E">
                        <w:rPr>
                          <w:highlight w:val="yellow"/>
                          <w:lang w:eastAsia="en-GB"/>
                        </w:rPr>
                        <w:t>T</w:t>
                      </w:r>
                      <w:r w:rsidRPr="008B201E">
                        <w:rPr>
                          <w:highlight w:val="yellow"/>
                          <w:vertAlign w:val="subscript"/>
                          <w:lang w:eastAsia="en-GB"/>
                        </w:rPr>
                        <w:t>L1-RSRP</w:t>
                      </w:r>
                      <w:r w:rsidRPr="008B201E">
                        <w:rPr>
                          <w:rFonts w:eastAsia="Malgun Gothic"/>
                          <w:highlight w:val="yellow"/>
                        </w:rPr>
                        <w:t xml:space="preserve"> +TO</w:t>
                      </w:r>
                      <w:r w:rsidRPr="008B201E">
                        <w:rPr>
                          <w:rFonts w:eastAsia="Malgun Gothic"/>
                          <w:highlight w:val="yellow"/>
                          <w:vertAlign w:val="subscript"/>
                        </w:rPr>
                        <w:t>k</w:t>
                      </w:r>
                      <w:r w:rsidRPr="008B201E">
                        <w:rPr>
                          <w:rFonts w:eastAsia="Malgun Gothic"/>
                          <w:highlight w:val="yellow"/>
                        </w:rPr>
                        <w:t>*(T</w:t>
                      </w:r>
                      <w:r w:rsidRPr="008B201E">
                        <w:rPr>
                          <w:rFonts w:eastAsia="Malgun Gothic"/>
                          <w:highlight w:val="yellow"/>
                          <w:vertAlign w:val="subscript"/>
                        </w:rPr>
                        <w:t>first-SSB</w:t>
                      </w:r>
                      <w:r w:rsidRPr="008B201E">
                        <w:rPr>
                          <w:highlight w:val="yellow"/>
                        </w:rPr>
                        <w:t>).</w:t>
                      </w:r>
                    </w:p>
                  </w:txbxContent>
                </v:textbox>
                <w10:wrap type="square" anchorx="margin"/>
              </v:shape>
            </w:pict>
          </mc:Fallback>
        </mc:AlternateContent>
      </w:r>
      <w:r w:rsidR="008B201E">
        <w:t>In TS38.133 [1], UE keeps old TCI-state according to the follow</w:t>
      </w:r>
      <w:r w:rsidR="000A2D32">
        <w:t>ing</w:t>
      </w:r>
      <w:r w:rsidR="008B201E">
        <w:t xml:space="preserve"> clauses in section 8.10.3. </w:t>
      </w:r>
      <w:r>
        <w:t>There is a certain period of time that UE needs to stay with the old TCI state, as highlighted.</w:t>
      </w:r>
    </w:p>
    <w:p w:rsidR="000761C5" w:rsidRDefault="000761C5" w:rsidP="00F47D16">
      <w:pPr>
        <w:rPr>
          <w:lang w:val="en-GB" w:eastAsia="en-US"/>
        </w:rPr>
      </w:pPr>
    </w:p>
    <w:p w:rsidR="008B201E" w:rsidRDefault="008B201E" w:rsidP="008B201E">
      <w:pPr>
        <w:jc w:val="both"/>
        <w:rPr>
          <w:rFonts w:ascii="Calibri" w:eastAsia="SimSun" w:hAnsi="Calibri" w:cs="Arial"/>
          <w:b/>
          <w:bCs/>
        </w:rPr>
      </w:pPr>
      <w:bookmarkStart w:id="1" w:name="_Ref16588122"/>
      <w:r w:rsidRPr="009767D2">
        <w:rPr>
          <w:rFonts w:ascii="Calibri" w:eastAsia="SimSun" w:hAnsi="Calibri" w:cs="Arial"/>
          <w:b/>
          <w:bCs/>
        </w:rPr>
        <w:t xml:space="preserve">Observation </w:t>
      </w:r>
      <w:r w:rsidRPr="009767D2">
        <w:rPr>
          <w:rFonts w:ascii="Calibri" w:eastAsia="SimSun" w:hAnsi="Calibri" w:cs="Arial"/>
          <w:b/>
          <w:bCs/>
        </w:rPr>
        <w:fldChar w:fldCharType="begin"/>
      </w:r>
      <w:r w:rsidRPr="009767D2">
        <w:rPr>
          <w:rFonts w:ascii="Calibri" w:eastAsia="SimSun" w:hAnsi="Calibri" w:cs="Arial"/>
          <w:b/>
          <w:bCs/>
        </w:rPr>
        <w:instrText xml:space="preserve"> SEQ Observation \* ARABIC </w:instrText>
      </w:r>
      <w:r w:rsidRPr="009767D2">
        <w:rPr>
          <w:rFonts w:ascii="Calibri" w:eastAsia="SimSun" w:hAnsi="Calibri" w:cs="Arial"/>
          <w:b/>
          <w:bCs/>
        </w:rPr>
        <w:fldChar w:fldCharType="separate"/>
      </w:r>
      <w:r w:rsidR="000D36B1">
        <w:rPr>
          <w:rFonts w:ascii="Calibri" w:eastAsia="SimSun" w:hAnsi="Calibri" w:cs="Arial"/>
          <w:b/>
          <w:bCs/>
          <w:noProof/>
        </w:rPr>
        <w:t>1</w:t>
      </w:r>
      <w:r w:rsidRPr="009767D2">
        <w:rPr>
          <w:rFonts w:ascii="Calibri" w:eastAsia="SimSun" w:hAnsi="Calibri" w:cs="Arial"/>
          <w:b/>
          <w:bCs/>
        </w:rPr>
        <w:fldChar w:fldCharType="end"/>
      </w:r>
      <w:r w:rsidRPr="009767D2">
        <w:rPr>
          <w:rFonts w:ascii="Calibri" w:eastAsia="SimSun" w:hAnsi="Calibri" w:cs="Arial"/>
          <w:b/>
          <w:bCs/>
        </w:rPr>
        <w:t xml:space="preserve">: </w:t>
      </w:r>
      <w:r>
        <w:rPr>
          <w:rFonts w:ascii="Calibri" w:eastAsia="SimSun" w:hAnsi="Calibri" w:cs="Arial"/>
          <w:b/>
          <w:bCs/>
        </w:rPr>
        <w:t>For MAC-CE based TCI state switch</w:t>
      </w:r>
      <w:r w:rsidR="00B226C3">
        <w:rPr>
          <w:rFonts w:ascii="Calibri" w:eastAsia="SimSun" w:hAnsi="Calibri" w:cs="Arial"/>
          <w:b/>
          <w:bCs/>
        </w:rPr>
        <w:t xml:space="preserve"> in 38.133</w:t>
      </w:r>
      <w:r>
        <w:rPr>
          <w:rFonts w:ascii="Calibri" w:eastAsia="SimSun" w:hAnsi="Calibri" w:cs="Arial"/>
          <w:b/>
          <w:bCs/>
        </w:rPr>
        <w:t xml:space="preserve">, UE keeps old TCI state until </w:t>
      </w:r>
      <w:r w:rsidRPr="008B201E">
        <w:rPr>
          <w:b/>
        </w:rPr>
        <w:t xml:space="preserve">slot </w:t>
      </w:r>
      <w:r w:rsidRPr="008B201E">
        <w:rPr>
          <w:b/>
          <w:i/>
        </w:rPr>
        <w:t>n</w:t>
      </w:r>
      <w:r w:rsidRPr="008B201E">
        <w:rPr>
          <w:b/>
        </w:rPr>
        <w:t>+</w:t>
      </w:r>
      <w:r w:rsidRPr="008B201E">
        <w:rPr>
          <w:rFonts w:eastAsia="Malgun Gothic"/>
          <w:b/>
        </w:rPr>
        <w:t xml:space="preserve"> T</w:t>
      </w:r>
      <w:r w:rsidRPr="008B201E">
        <w:rPr>
          <w:rFonts w:eastAsia="Malgun Gothic"/>
          <w:b/>
          <w:vertAlign w:val="subscript"/>
        </w:rPr>
        <w:t>HARQ</w:t>
      </w:r>
      <w:r w:rsidRPr="008B201E">
        <w:rPr>
          <w:rFonts w:eastAsia="Malgun Gothic"/>
          <w:b/>
        </w:rPr>
        <w:t xml:space="preserve"> +3 ms +TO</w:t>
      </w:r>
      <w:r w:rsidRPr="008B201E">
        <w:rPr>
          <w:rFonts w:eastAsia="Malgun Gothic"/>
          <w:b/>
          <w:vertAlign w:val="subscript"/>
        </w:rPr>
        <w:t>k</w:t>
      </w:r>
      <w:r w:rsidRPr="008B201E">
        <w:rPr>
          <w:rFonts w:eastAsia="Malgun Gothic"/>
          <w:b/>
        </w:rPr>
        <w:t>*(T</w:t>
      </w:r>
      <w:r w:rsidRPr="008B201E">
        <w:rPr>
          <w:rFonts w:eastAsia="Malgun Gothic"/>
          <w:b/>
          <w:vertAlign w:val="subscript"/>
        </w:rPr>
        <w:t>first-SSB</w:t>
      </w:r>
      <w:r w:rsidRPr="008B201E">
        <w:rPr>
          <w:b/>
        </w:rPr>
        <w:t>)</w:t>
      </w:r>
      <w:r>
        <w:rPr>
          <w:b/>
        </w:rPr>
        <w:t xml:space="preserve"> if the TCI state is known; </w:t>
      </w:r>
      <w:r>
        <w:rPr>
          <w:rFonts w:ascii="Calibri" w:eastAsia="SimSun" w:hAnsi="Calibri" w:cs="Arial"/>
          <w:b/>
          <w:bCs/>
        </w:rPr>
        <w:t xml:space="preserve">UE keeps old TCI state until </w:t>
      </w:r>
      <w:r w:rsidRPr="008B201E">
        <w:rPr>
          <w:b/>
        </w:rPr>
        <w:t xml:space="preserve">slot </w:t>
      </w:r>
      <w:r w:rsidRPr="008B201E">
        <w:rPr>
          <w:b/>
          <w:i/>
        </w:rPr>
        <w:t>n</w:t>
      </w:r>
      <w:r w:rsidRPr="008B201E">
        <w:rPr>
          <w:b/>
        </w:rPr>
        <w:t>+</w:t>
      </w:r>
      <w:r w:rsidRPr="008B201E">
        <w:rPr>
          <w:rFonts w:eastAsia="Malgun Gothic"/>
          <w:b/>
        </w:rPr>
        <w:t xml:space="preserve"> T</w:t>
      </w:r>
      <w:r w:rsidRPr="008B201E">
        <w:rPr>
          <w:rFonts w:eastAsia="Malgun Gothic"/>
          <w:b/>
          <w:vertAlign w:val="subscript"/>
        </w:rPr>
        <w:t>HARQ</w:t>
      </w:r>
      <w:r w:rsidRPr="008B201E">
        <w:rPr>
          <w:rFonts w:eastAsia="Malgun Gothic"/>
          <w:b/>
        </w:rPr>
        <w:t xml:space="preserve"> +3 ms + </w:t>
      </w:r>
      <w:r w:rsidRPr="008B201E">
        <w:rPr>
          <w:b/>
          <w:lang w:eastAsia="en-GB"/>
        </w:rPr>
        <w:t>T</w:t>
      </w:r>
      <w:r w:rsidRPr="008B201E">
        <w:rPr>
          <w:b/>
          <w:vertAlign w:val="subscript"/>
          <w:lang w:eastAsia="en-GB"/>
        </w:rPr>
        <w:t>L1-RSRP</w:t>
      </w:r>
      <w:r w:rsidRPr="008B201E">
        <w:rPr>
          <w:rFonts w:eastAsia="Malgun Gothic"/>
        </w:rPr>
        <w:t xml:space="preserve"> </w:t>
      </w:r>
      <w:r w:rsidRPr="008B201E">
        <w:rPr>
          <w:rFonts w:eastAsia="Malgun Gothic"/>
          <w:b/>
        </w:rPr>
        <w:t>+TO</w:t>
      </w:r>
      <w:r w:rsidRPr="008B201E">
        <w:rPr>
          <w:rFonts w:eastAsia="Malgun Gothic"/>
          <w:b/>
          <w:vertAlign w:val="subscript"/>
        </w:rPr>
        <w:t>k</w:t>
      </w:r>
      <w:r w:rsidRPr="008B201E">
        <w:rPr>
          <w:rFonts w:eastAsia="Malgun Gothic"/>
          <w:b/>
        </w:rPr>
        <w:t>*(T</w:t>
      </w:r>
      <w:r w:rsidRPr="008B201E">
        <w:rPr>
          <w:rFonts w:eastAsia="Malgun Gothic"/>
          <w:b/>
          <w:vertAlign w:val="subscript"/>
        </w:rPr>
        <w:t>first-SSB</w:t>
      </w:r>
      <w:r w:rsidRPr="008B201E">
        <w:rPr>
          <w:b/>
        </w:rPr>
        <w:t>)</w:t>
      </w:r>
      <w:r>
        <w:rPr>
          <w:b/>
        </w:rPr>
        <w:t xml:space="preserve"> if the TCI state is unknown.</w:t>
      </w:r>
      <w:bookmarkEnd w:id="1"/>
    </w:p>
    <w:p w:rsidR="008B201E" w:rsidRDefault="008B201E" w:rsidP="008B201E">
      <w:pPr>
        <w:jc w:val="both"/>
        <w:rPr>
          <w:sz w:val="20"/>
          <w:szCs w:val="20"/>
        </w:rPr>
      </w:pPr>
    </w:p>
    <w:p w:rsidR="008B201E" w:rsidRDefault="008B201E" w:rsidP="00F47D16">
      <w:r>
        <w:rPr>
          <w:lang w:eastAsia="en-US"/>
        </w:rPr>
        <w:t xml:space="preserve">Nevertheless, </w:t>
      </w:r>
      <w:r>
        <w:t xml:space="preserve">in TS38.213 [2], </w:t>
      </w:r>
      <w:r w:rsidR="00991031">
        <w:rPr>
          <w:lang w:val="en-GB"/>
        </w:rPr>
        <w:t xml:space="preserve">UE switches to new TCI-state </w:t>
      </w:r>
      <w:r w:rsidR="00991031">
        <w:t>according to the follow</w:t>
      </w:r>
      <w:r w:rsidR="000A2D32">
        <w:t>ing</w:t>
      </w:r>
      <w:r w:rsidR="00991031">
        <w:t xml:space="preserve"> clauses in section </w:t>
      </w:r>
      <w:r w:rsidR="00B226C3">
        <w:t>10.1</w:t>
      </w:r>
      <w:r w:rsidR="00991031">
        <w:t>.</w:t>
      </w:r>
    </w:p>
    <w:p w:rsidR="00991031" w:rsidRDefault="00991031" w:rsidP="00F47D16">
      <w:pPr>
        <w:rPr>
          <w:lang w:eastAsia="en-US"/>
        </w:rPr>
      </w:pPr>
    </w:p>
    <w:p w:rsidR="00D725E8" w:rsidRPr="008B201E" w:rsidRDefault="00B226C3" w:rsidP="00F47D16">
      <w:pPr>
        <w:rPr>
          <w:lang w:eastAsia="en-US"/>
        </w:rPr>
      </w:pPr>
      <w:r w:rsidRPr="008B201E">
        <w:rPr>
          <w:noProof/>
          <w:lang w:eastAsia="zh-TW"/>
        </w:rPr>
        <w:lastRenderedPageBreak/>
        <mc:AlternateContent>
          <mc:Choice Requires="wps">
            <w:drawing>
              <wp:anchor distT="45720" distB="45720" distL="114300" distR="114300" simplePos="0" relativeHeight="251661312" behindDoc="0" locked="0" layoutInCell="1" allowOverlap="1" wp14:anchorId="4916AA49" wp14:editId="058F8817">
                <wp:simplePos x="0" y="0"/>
                <wp:positionH relativeFrom="column">
                  <wp:posOffset>0</wp:posOffset>
                </wp:positionH>
                <wp:positionV relativeFrom="paragraph">
                  <wp:posOffset>326390</wp:posOffset>
                </wp:positionV>
                <wp:extent cx="6078220" cy="1404620"/>
                <wp:effectExtent l="0" t="0" r="17780" b="2032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404620"/>
                        </a:xfrm>
                        <a:prstGeom prst="rect">
                          <a:avLst/>
                        </a:prstGeom>
                        <a:solidFill>
                          <a:srgbClr val="FFFFFF"/>
                        </a:solidFill>
                        <a:ln w="9525">
                          <a:solidFill>
                            <a:srgbClr val="000000"/>
                          </a:solidFill>
                          <a:miter lim="800000"/>
                          <a:headEnd/>
                          <a:tailEnd/>
                        </a:ln>
                      </wps:spPr>
                      <wps:txbx>
                        <w:txbxContent>
                          <w:p w:rsidR="00B226C3" w:rsidRPr="00326D6E" w:rsidRDefault="00B226C3" w:rsidP="00B226C3">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rPr>
                              <w:t xml:space="preserve">the one or more DL RS configured by the TCI state. </w:t>
                            </w:r>
                            <w:r w:rsidRPr="00326D6E">
                              <w:t>For a CORESET with index 0, the UE expects that QCL-TypeD of a CSI-RS in a TCI state indicated by a MAC CE activation command for the CORESET is provided by a SS/PBCH block</w:t>
                            </w:r>
                          </w:p>
                          <w:p w:rsidR="00B226C3" w:rsidRPr="00B226C3" w:rsidRDefault="00B226C3" w:rsidP="00B226C3">
                            <w:pPr>
                              <w:pStyle w:val="B1"/>
                            </w:pPr>
                            <w:r>
                              <w:t>-</w:t>
                            </w:r>
                            <w:r>
                              <w:tab/>
                            </w:r>
                            <w:r w:rsidRPr="00B226C3">
                              <w:rPr>
                                <w:highlight w:val="yellow"/>
                                <w:lang w:val="en-US"/>
                              </w:rPr>
                              <w:t>if the UE receives a MAC CE activation command for one of the TCI states, the UE applies the activation command in</w:t>
                            </w:r>
                            <w:r w:rsidRPr="00B226C3">
                              <w:rPr>
                                <w:highlight w:val="yellow"/>
                              </w:rPr>
                              <w:t xml:space="preserve"> the first slot that is after slot </w:t>
                            </w:r>
                            <w:r w:rsidRPr="00B226C3">
                              <w:rPr>
                                <w:position w:val="-10"/>
                                <w:highlight w:val="yellow"/>
                              </w:rPr>
                              <w:object w:dxaOrig="13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5.3pt;height:17.5pt" o:ole="">
                                  <v:imagedata r:id="rId8" o:title=""/>
                                </v:shape>
                                <o:OLEObject Type="Embed" ProgID="Equation.3" ShapeID="_x0000_i1026" DrawAspect="Content" ObjectID="_1627478776" r:id="rId9"/>
                              </w:object>
                            </w:r>
                            <w:r w:rsidRPr="00B662F6">
                              <w:t xml:space="preserve"> where </w:t>
                            </w:r>
                            <w:r w:rsidRPr="00B662F6">
                              <w:rPr>
                                <w:position w:val="-6"/>
                              </w:rPr>
                              <w:object w:dxaOrig="180" w:dyaOrig="240">
                                <v:shape id="_x0000_i1028" type="#_x0000_t75" style="width:9.15pt;height:11.65pt" o:ole="">
                                  <v:imagedata r:id="rId10" o:title=""/>
                                </v:shape>
                                <o:OLEObject Type="Embed" ProgID="Equation.3" ShapeID="_x0000_i1028" DrawAspect="Content" ObjectID="_1627478777" r:id="rId11"/>
                              </w:object>
                            </w:r>
                            <w:r w:rsidRPr="00B662F6">
                              <w:rPr>
                                <w:lang w:val="en-US"/>
                              </w:rPr>
                              <w:t xml:space="preserve"> is the slot where the UE transmits a PUCCH</w:t>
                            </w:r>
                            <w:r>
                              <w:rPr>
                                <w:lang w:val="en-US"/>
                              </w:rPr>
                              <w:t xml:space="preserve">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v:shape id="_x0000_i1030" type="#_x0000_t75" style="width:11.65pt;height:11.65pt" o:ole="">
                                  <v:imagedata r:id="rId12" o:title=""/>
                                </v:shape>
                                <o:OLEObject Type="Embed" ProgID="Equation.3" ShapeID="_x0000_i1030" DrawAspect="Content" ObjectID="_1627478778" r:id="rId13"/>
                              </w:object>
                            </w:r>
                            <w:r w:rsidRPr="0014499E">
                              <w:t xml:space="preserve"> </w:t>
                            </w:r>
                            <w:r>
                              <w:t xml:space="preserve">is the SCS configuration for </w:t>
                            </w:r>
                            <w:r>
                              <w:rPr>
                                <w:lang w:val="en-US"/>
                              </w:rPr>
                              <w:t xml:space="preserve">the </w:t>
                            </w:r>
                            <w:r>
                              <w:t>PUCCH</w:t>
                            </w:r>
                            <w:r>
                              <w:rPr>
                                <w:lang w:val="en-US"/>
                              </w:rPr>
                              <w:t xml:space="preserve"> transmission. The active BWP is defined as the active BWP in the slot when the activation command is applied.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16AA49" id="_x0000_s1027" type="#_x0000_t202" style="position:absolute;margin-left:0;margin-top:25.7pt;width:478.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">
                <v:textbox style="mso-fit-shape-to-text:t">
                  <w:txbxContent>
                    <w:p w:rsidR="00B226C3" w:rsidRPr="00326D6E" w:rsidRDefault="00B226C3" w:rsidP="00B226C3">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rPr>
                        <w:t xml:space="preserve">the one or more DL RS configured by the TCI state. </w:t>
                      </w:r>
                      <w:r w:rsidRPr="00326D6E">
                        <w:t>For a CORESET with index 0, the UE expects that QCL-TypeD of a CSI-RS in a TCI state indicated by a MAC CE activation command for the CORESET is provided by a SS/PBCH block</w:t>
                      </w:r>
                    </w:p>
                    <w:p w:rsidR="00B226C3" w:rsidRPr="00B226C3" w:rsidRDefault="00B226C3" w:rsidP="00B226C3">
                      <w:pPr>
                        <w:pStyle w:val="B1"/>
                      </w:pPr>
                      <w:r>
                        <w:t>-</w:t>
                      </w:r>
                      <w:r>
                        <w:tab/>
                      </w:r>
                      <w:r w:rsidRPr="00B226C3">
                        <w:rPr>
                          <w:highlight w:val="yellow"/>
                          <w:lang w:val="en-US"/>
                        </w:rPr>
                        <w:t>if the UE receives a MAC CE activation command for one of the TCI states, the UE applies the activation command in</w:t>
                      </w:r>
                      <w:r w:rsidRPr="00B226C3">
                        <w:rPr>
                          <w:highlight w:val="yellow"/>
                        </w:rPr>
                        <w:t xml:space="preserve"> the first slot that is after slot </w:t>
                      </w:r>
                      <w:r w:rsidRPr="00B226C3">
                        <w:rPr>
                          <w:position w:val="-10"/>
                          <w:highlight w:val="yellow"/>
                        </w:rPr>
                        <w:object w:dxaOrig="1300" w:dyaOrig="340">
                          <v:shape id="_x0000_i1026" type="#_x0000_t75" style="width:65.3pt;height:17.5pt" o:ole="">
                            <v:imagedata r:id="rId8" o:title=""/>
                          </v:shape>
                          <o:OLEObject Type="Embed" ProgID="Equation.3" ShapeID="_x0000_i1026" DrawAspect="Content" ObjectID="_1627478776" r:id="rId14"/>
                        </w:object>
                      </w:r>
                      <w:r w:rsidRPr="00B662F6">
                        <w:t xml:space="preserve"> where </w:t>
                      </w:r>
                      <w:r w:rsidRPr="00B662F6">
                        <w:rPr>
                          <w:position w:val="-6"/>
                        </w:rPr>
                        <w:object w:dxaOrig="180" w:dyaOrig="240">
                          <v:shape id="_x0000_i1028" type="#_x0000_t75" style="width:9.15pt;height:11.65pt" o:ole="">
                            <v:imagedata r:id="rId10" o:title=""/>
                          </v:shape>
                          <o:OLEObject Type="Embed" ProgID="Equation.3" ShapeID="_x0000_i1028" DrawAspect="Content" ObjectID="_1627478777" r:id="rId15"/>
                        </w:object>
                      </w:r>
                      <w:r w:rsidRPr="00B662F6">
                        <w:rPr>
                          <w:lang w:val="en-US"/>
                        </w:rPr>
                        <w:t xml:space="preserve"> is the slot where the UE transmits a PUCCH</w:t>
                      </w:r>
                      <w:r>
                        <w:rPr>
                          <w:lang w:val="en-US"/>
                        </w:rPr>
                        <w:t xml:space="preserve">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v:shape id="_x0000_i1030" type="#_x0000_t75" style="width:11.65pt;height:11.65pt" o:ole="">
                            <v:imagedata r:id="rId12" o:title=""/>
                          </v:shape>
                          <o:OLEObject Type="Embed" ProgID="Equation.3" ShapeID="_x0000_i1030" DrawAspect="Content" ObjectID="_1627478778" r:id="rId16"/>
                        </w:object>
                      </w:r>
                      <w:r w:rsidRPr="0014499E">
                        <w:t xml:space="preserve"> </w:t>
                      </w:r>
                      <w:r>
                        <w:t xml:space="preserve">is the SCS configuration for </w:t>
                      </w:r>
                      <w:r>
                        <w:rPr>
                          <w:lang w:val="en-US"/>
                        </w:rPr>
                        <w:t xml:space="preserve">the </w:t>
                      </w:r>
                      <w:r>
                        <w:t>PUCCH</w:t>
                      </w:r>
                      <w:r>
                        <w:rPr>
                          <w:lang w:val="en-US"/>
                        </w:rPr>
                        <w:t xml:space="preserve"> transmission. The active BWP is defined as the active BWP in the slot when the activation command is applied.</w:t>
                      </w:r>
                    </w:p>
                  </w:txbxContent>
                </v:textbox>
                <w10:wrap type="square"/>
              </v:shape>
            </w:pict>
          </mc:Fallback>
        </mc:AlternateContent>
      </w:r>
    </w:p>
    <w:p w:rsidR="008B201E" w:rsidRDefault="008B201E" w:rsidP="00F47D16">
      <w:pPr>
        <w:rPr>
          <w:lang w:val="en-GB" w:eastAsia="en-US"/>
        </w:rPr>
      </w:pPr>
    </w:p>
    <w:p w:rsidR="00B226C3" w:rsidRDefault="00B226C3" w:rsidP="00B226C3">
      <w:pPr>
        <w:jc w:val="both"/>
        <w:rPr>
          <w:rFonts w:ascii="Calibri" w:eastAsia="SimSun" w:hAnsi="Calibri" w:cs="Arial"/>
          <w:b/>
          <w:bCs/>
        </w:rPr>
      </w:pPr>
      <w:bookmarkStart w:id="2" w:name="_Ref16588125"/>
      <w:r w:rsidRPr="009767D2">
        <w:rPr>
          <w:rFonts w:ascii="Calibri" w:eastAsia="SimSun" w:hAnsi="Calibri" w:cs="Arial"/>
          <w:b/>
          <w:bCs/>
        </w:rPr>
        <w:t xml:space="preserve">Observation </w:t>
      </w:r>
      <w:r w:rsidRPr="009767D2">
        <w:rPr>
          <w:rFonts w:ascii="Calibri" w:eastAsia="SimSun" w:hAnsi="Calibri" w:cs="Arial"/>
          <w:b/>
          <w:bCs/>
        </w:rPr>
        <w:fldChar w:fldCharType="begin"/>
      </w:r>
      <w:r w:rsidRPr="009767D2">
        <w:rPr>
          <w:rFonts w:ascii="Calibri" w:eastAsia="SimSun" w:hAnsi="Calibri" w:cs="Arial"/>
          <w:b/>
          <w:bCs/>
        </w:rPr>
        <w:instrText xml:space="preserve"> SEQ Observation \* ARABIC </w:instrText>
      </w:r>
      <w:r w:rsidRPr="009767D2">
        <w:rPr>
          <w:rFonts w:ascii="Calibri" w:eastAsia="SimSun" w:hAnsi="Calibri" w:cs="Arial"/>
          <w:b/>
          <w:bCs/>
        </w:rPr>
        <w:fldChar w:fldCharType="separate"/>
      </w:r>
      <w:r w:rsidR="000D36B1">
        <w:rPr>
          <w:rFonts w:ascii="Calibri" w:eastAsia="SimSun" w:hAnsi="Calibri" w:cs="Arial"/>
          <w:b/>
          <w:bCs/>
          <w:noProof/>
        </w:rPr>
        <w:t>2</w:t>
      </w:r>
      <w:r w:rsidRPr="009767D2">
        <w:rPr>
          <w:rFonts w:ascii="Calibri" w:eastAsia="SimSun" w:hAnsi="Calibri" w:cs="Arial"/>
          <w:b/>
          <w:bCs/>
        </w:rPr>
        <w:fldChar w:fldCharType="end"/>
      </w:r>
      <w:r w:rsidRPr="009767D2">
        <w:rPr>
          <w:rFonts w:ascii="Calibri" w:eastAsia="SimSun" w:hAnsi="Calibri" w:cs="Arial"/>
          <w:b/>
          <w:bCs/>
        </w:rPr>
        <w:t xml:space="preserve">: </w:t>
      </w:r>
      <w:r>
        <w:rPr>
          <w:rFonts w:ascii="Calibri" w:eastAsia="SimSun" w:hAnsi="Calibri" w:cs="Arial"/>
          <w:b/>
          <w:bCs/>
        </w:rPr>
        <w:t xml:space="preserve">For MAC-CE based TCI state switch in 38.213, UE switches to new TCI-state </w:t>
      </w:r>
      <w:r w:rsidRPr="00B226C3">
        <w:rPr>
          <w:b/>
        </w:rPr>
        <w:t>after slot</w:t>
      </w:r>
      <w:r>
        <w:rPr>
          <w:b/>
        </w:rPr>
        <w:t xml:space="preserve"> </w:t>
      </w:r>
      <w:r w:rsidRPr="008B201E">
        <w:rPr>
          <w:b/>
          <w:i/>
        </w:rPr>
        <w:t>n</w:t>
      </w:r>
      <w:r w:rsidRPr="008B201E">
        <w:rPr>
          <w:b/>
        </w:rPr>
        <w:t>+</w:t>
      </w:r>
      <w:r w:rsidRPr="008B201E">
        <w:rPr>
          <w:rFonts w:eastAsia="Malgun Gothic"/>
          <w:b/>
        </w:rPr>
        <w:t xml:space="preserve"> T</w:t>
      </w:r>
      <w:r w:rsidRPr="008B201E">
        <w:rPr>
          <w:rFonts w:eastAsia="Malgun Gothic"/>
          <w:b/>
          <w:vertAlign w:val="subscript"/>
        </w:rPr>
        <w:t>HARQ</w:t>
      </w:r>
      <w:r w:rsidRPr="008B201E">
        <w:rPr>
          <w:rFonts w:eastAsia="Malgun Gothic"/>
          <w:b/>
        </w:rPr>
        <w:t xml:space="preserve"> +3 ms</w:t>
      </w:r>
      <w:r w:rsidRPr="00B226C3">
        <w:rPr>
          <w:b/>
        </w:rPr>
        <w:t>.</w:t>
      </w:r>
      <w:bookmarkEnd w:id="2"/>
    </w:p>
    <w:p w:rsidR="00B226C3" w:rsidRDefault="00B226C3" w:rsidP="00F47D16">
      <w:pPr>
        <w:rPr>
          <w:lang w:val="en-GB" w:eastAsia="en-US"/>
        </w:rPr>
      </w:pPr>
    </w:p>
    <w:p w:rsidR="0073379B" w:rsidRPr="000A2D32" w:rsidRDefault="00E56B05" w:rsidP="000A2D32">
      <w:pPr>
        <w:rPr>
          <w:lang w:val="en-GB"/>
        </w:rPr>
      </w:pPr>
      <w:r w:rsidRPr="000A2D32">
        <w:rPr>
          <w:lang w:val="en-GB"/>
        </w:rPr>
        <w:t xml:space="preserve">To resolve this </w:t>
      </w:r>
      <w:r w:rsidR="00B670A6">
        <w:rPr>
          <w:lang w:val="en-GB"/>
        </w:rPr>
        <w:t>misalignment</w:t>
      </w:r>
      <w:r w:rsidRPr="000A2D32">
        <w:rPr>
          <w:lang w:val="en-GB"/>
        </w:rPr>
        <w:t>, we suggest</w:t>
      </w:r>
      <w:r w:rsidR="000A2D32">
        <w:rPr>
          <w:lang w:val="en-GB"/>
        </w:rPr>
        <w:t xml:space="preserve"> the following options</w:t>
      </w:r>
      <w:r w:rsidR="00B670A6">
        <w:rPr>
          <w:lang w:val="en-GB"/>
        </w:rPr>
        <w:t>:</w:t>
      </w:r>
    </w:p>
    <w:p w:rsidR="00B670A6" w:rsidRPr="009E43CE" w:rsidRDefault="00E56B05" w:rsidP="009E43CE">
      <w:pPr>
        <w:pStyle w:val="af5"/>
        <w:numPr>
          <w:ilvl w:val="0"/>
          <w:numId w:val="42"/>
        </w:numPr>
        <w:rPr>
          <w:b/>
          <w:lang w:val="en-GB"/>
        </w:rPr>
      </w:pPr>
      <w:r w:rsidRPr="009E43CE">
        <w:rPr>
          <w:b/>
          <w:lang w:val="en-GB"/>
        </w:rPr>
        <w:t>Op</w:t>
      </w:r>
      <w:r w:rsidR="000A2D32" w:rsidRPr="009E43CE">
        <w:rPr>
          <w:b/>
          <w:lang w:val="en-GB"/>
        </w:rPr>
        <w:t xml:space="preserve">tion </w:t>
      </w:r>
      <w:r w:rsidR="008E2951" w:rsidRPr="009E43CE">
        <w:rPr>
          <w:b/>
          <w:lang w:val="en-GB"/>
        </w:rPr>
        <w:t xml:space="preserve">1: </w:t>
      </w:r>
      <w:r w:rsidR="009C2848" w:rsidRPr="009E43CE">
        <w:rPr>
          <w:b/>
          <w:lang w:val="en-GB"/>
        </w:rPr>
        <w:t xml:space="preserve">Sent </w:t>
      </w:r>
      <w:r w:rsidR="008E2951" w:rsidRPr="009E43CE">
        <w:rPr>
          <w:b/>
          <w:lang w:val="en-GB"/>
        </w:rPr>
        <w:t xml:space="preserve">LS to RAN1 </w:t>
      </w:r>
      <w:r w:rsidR="009C2848" w:rsidRPr="009E43CE">
        <w:rPr>
          <w:b/>
          <w:lang w:val="en-GB"/>
        </w:rPr>
        <w:t>for</w:t>
      </w:r>
      <w:r w:rsidR="008E2951" w:rsidRPr="009E43CE">
        <w:rPr>
          <w:b/>
          <w:lang w:val="en-GB"/>
        </w:rPr>
        <w:t xml:space="preserve"> revising</w:t>
      </w:r>
      <w:r w:rsidR="000A2D32" w:rsidRPr="009E43CE">
        <w:rPr>
          <w:b/>
          <w:lang w:val="en-GB"/>
        </w:rPr>
        <w:t xml:space="preserve"> 38.213</w:t>
      </w:r>
      <w:r w:rsidRPr="009E43CE">
        <w:rPr>
          <w:b/>
          <w:lang w:val="en-GB"/>
        </w:rPr>
        <w:t xml:space="preserve"> to </w:t>
      </w:r>
      <w:r w:rsidR="009C2848" w:rsidRPr="009E43CE">
        <w:rPr>
          <w:b/>
          <w:lang w:val="en-GB"/>
        </w:rPr>
        <w:t xml:space="preserve">refer to </w:t>
      </w:r>
      <w:r w:rsidR="00C37BB2" w:rsidRPr="009E43CE">
        <w:rPr>
          <w:b/>
          <w:lang w:val="en-GB"/>
        </w:rPr>
        <w:t>38.133</w:t>
      </w:r>
      <w:r w:rsidR="00B670A6" w:rsidRPr="009E43CE">
        <w:rPr>
          <w:b/>
          <w:lang w:val="en-GB"/>
        </w:rPr>
        <w:t>.</w:t>
      </w:r>
      <w:r w:rsidR="009E43CE" w:rsidRPr="009E43CE">
        <w:rPr>
          <w:b/>
          <w:lang w:val="en-GB"/>
        </w:rPr>
        <w:t xml:space="preserve"> </w:t>
      </w:r>
    </w:p>
    <w:p w:rsidR="009E43CE" w:rsidRDefault="00CE7F4A" w:rsidP="00B670A6">
      <w:pPr>
        <w:rPr>
          <w:lang w:val="en-GB"/>
        </w:rPr>
      </w:pPr>
      <w:r>
        <w:rPr>
          <w:lang w:val="en-GB"/>
        </w:rPr>
        <w:t>The corresponding</w:t>
      </w:r>
      <w:r w:rsidR="009E43CE">
        <w:rPr>
          <w:lang w:val="en-GB"/>
        </w:rPr>
        <w:t xml:space="preserve"> procedure is illustrated in </w:t>
      </w:r>
      <w:r w:rsidR="00DA2996">
        <w:rPr>
          <w:lang w:val="en-GB"/>
        </w:rPr>
        <w:t>F</w:t>
      </w:r>
      <w:r w:rsidR="009E43CE">
        <w:rPr>
          <w:lang w:val="en-GB"/>
        </w:rPr>
        <w:t xml:space="preserve">igure 1. </w:t>
      </w:r>
      <w:r w:rsidR="00B670A6">
        <w:rPr>
          <w:lang w:val="en-GB"/>
        </w:rPr>
        <w:t>The motivation</w:t>
      </w:r>
      <w:r>
        <w:rPr>
          <w:lang w:val="en-GB"/>
        </w:rPr>
        <w:t xml:space="preserve"> of this option</w:t>
      </w:r>
      <w:r w:rsidR="00B670A6">
        <w:rPr>
          <w:lang w:val="en-GB"/>
        </w:rPr>
        <w:t xml:space="preserve"> is to keep </w:t>
      </w:r>
      <w:r w:rsidR="00B670A6" w:rsidRPr="00B670A6">
        <w:rPr>
          <w:lang w:val="en-GB"/>
        </w:rPr>
        <w:t xml:space="preserve">RAN4 </w:t>
      </w:r>
      <w:r w:rsidR="00B670A6">
        <w:rPr>
          <w:lang w:val="en-GB"/>
        </w:rPr>
        <w:t>requirements, since it</w:t>
      </w:r>
      <w:r w:rsidR="00B670A6" w:rsidRPr="00B670A6">
        <w:rPr>
          <w:lang w:val="en-GB"/>
        </w:rPr>
        <w:t xml:space="preserve"> considered more </w:t>
      </w:r>
      <w:r w:rsidR="00B670A6">
        <w:rPr>
          <w:lang w:val="en-GB"/>
        </w:rPr>
        <w:t>scenarios</w:t>
      </w:r>
      <w:r w:rsidR="00B670A6" w:rsidRPr="00B670A6">
        <w:rPr>
          <w:lang w:val="en-GB"/>
        </w:rPr>
        <w:t xml:space="preserve"> as well as the difference between known and unknown TCI state.</w:t>
      </w:r>
      <w:r w:rsidR="009E43CE">
        <w:rPr>
          <w:lang w:val="en-GB"/>
        </w:rPr>
        <w:t xml:space="preserve"> </w:t>
      </w:r>
    </w:p>
    <w:p w:rsidR="00CE7F4A" w:rsidRDefault="00CE7F4A" w:rsidP="00B670A6">
      <w:pPr>
        <w:rPr>
          <w:lang w:val="en-GB"/>
        </w:rPr>
      </w:pPr>
    </w:p>
    <w:p w:rsidR="009E43CE" w:rsidRDefault="009E43CE" w:rsidP="009E43CE">
      <w:pPr>
        <w:jc w:val="center"/>
        <w:rPr>
          <w:lang w:val="en-GB"/>
        </w:rPr>
      </w:pPr>
      <w:r>
        <w:rPr>
          <w:noProof/>
          <w:lang w:eastAsia="zh-TW"/>
        </w:rPr>
        <w:drawing>
          <wp:inline distT="0" distB="0" distL="0" distR="0">
            <wp:extent cx="4958782" cy="1367692"/>
            <wp:effectExtent l="0" t="0" r="0" b="444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93018" cy="1377135"/>
                    </a:xfrm>
                    <a:prstGeom prst="rect">
                      <a:avLst/>
                    </a:prstGeom>
                    <a:noFill/>
                    <a:ln>
                      <a:noFill/>
                    </a:ln>
                  </pic:spPr>
                </pic:pic>
              </a:graphicData>
            </a:graphic>
          </wp:inline>
        </w:drawing>
      </w:r>
    </w:p>
    <w:p w:rsidR="009E43CE" w:rsidRPr="009E43CE" w:rsidRDefault="009E43CE" w:rsidP="009E43CE">
      <w:pPr>
        <w:jc w:val="center"/>
        <w:rPr>
          <w:lang w:val="en-GB"/>
        </w:rPr>
      </w:pPr>
      <w:r w:rsidRPr="009E43CE">
        <w:rPr>
          <w:rFonts w:ascii="Calibri" w:eastAsia="SimSun" w:hAnsi="Calibri" w:cs="Arial"/>
          <w:bCs/>
        </w:rPr>
        <w:t xml:space="preserve">Figure </w:t>
      </w:r>
      <w:r w:rsidRPr="009E43CE">
        <w:rPr>
          <w:rFonts w:ascii="Calibri" w:eastAsia="SimSun" w:hAnsi="Calibri" w:cs="Arial"/>
          <w:bCs/>
        </w:rPr>
        <w:fldChar w:fldCharType="begin"/>
      </w:r>
      <w:r w:rsidRPr="009E43CE">
        <w:rPr>
          <w:rFonts w:ascii="Calibri" w:eastAsia="SimSun" w:hAnsi="Calibri" w:cs="Arial"/>
          <w:bCs/>
        </w:rPr>
        <w:instrText xml:space="preserve"> SEQ Figure \* ARABIC </w:instrText>
      </w:r>
      <w:r w:rsidRPr="009E43CE">
        <w:rPr>
          <w:rFonts w:ascii="Calibri" w:eastAsia="SimSun" w:hAnsi="Calibri" w:cs="Arial"/>
          <w:bCs/>
        </w:rPr>
        <w:fldChar w:fldCharType="separate"/>
      </w:r>
      <w:r w:rsidR="000D36B1">
        <w:rPr>
          <w:rFonts w:ascii="Calibri" w:eastAsia="SimSun" w:hAnsi="Calibri" w:cs="Arial"/>
          <w:bCs/>
          <w:noProof/>
        </w:rPr>
        <w:t>1</w:t>
      </w:r>
      <w:r w:rsidRPr="009E43CE">
        <w:rPr>
          <w:rFonts w:ascii="Calibri" w:eastAsia="SimSun" w:hAnsi="Calibri" w:cs="Arial"/>
          <w:bCs/>
        </w:rPr>
        <w:fldChar w:fldCharType="end"/>
      </w:r>
      <w:r w:rsidRPr="009E43CE">
        <w:rPr>
          <w:rFonts w:ascii="Calibri" w:eastAsia="SimSun" w:hAnsi="Calibri" w:cs="Arial"/>
          <w:bCs/>
        </w:rPr>
        <w:t xml:space="preserve">. </w:t>
      </w:r>
      <w:r w:rsidR="000D36B1" w:rsidRPr="009E43CE">
        <w:rPr>
          <w:rFonts w:ascii="Calibri" w:eastAsia="SimSun" w:hAnsi="Calibri" w:cs="Arial"/>
          <w:bCs/>
        </w:rPr>
        <w:t xml:space="preserve">UE </w:t>
      </w:r>
      <w:r w:rsidR="000D36B1">
        <w:rPr>
          <w:rFonts w:ascii="Calibri" w:eastAsia="SimSun" w:hAnsi="Calibri" w:cs="Arial"/>
          <w:bCs/>
        </w:rPr>
        <w:t>behavior during TCI state switch</w:t>
      </w:r>
      <w:r w:rsidR="00CE7F4A">
        <w:rPr>
          <w:rFonts w:ascii="Calibri" w:eastAsia="SimSun" w:hAnsi="Calibri" w:cs="Arial"/>
          <w:bCs/>
        </w:rPr>
        <w:t xml:space="preserve"> (Option 1)</w:t>
      </w:r>
      <w:r w:rsidRPr="009E43CE">
        <w:rPr>
          <w:rFonts w:ascii="Calibri" w:eastAsia="SimSun" w:hAnsi="Calibri" w:cs="Arial"/>
          <w:bCs/>
        </w:rPr>
        <w:t>.</w:t>
      </w:r>
    </w:p>
    <w:p w:rsidR="009E43CE" w:rsidRPr="00B670A6" w:rsidRDefault="009E43CE" w:rsidP="00B670A6">
      <w:pPr>
        <w:rPr>
          <w:lang w:val="en-GB"/>
        </w:rPr>
      </w:pPr>
    </w:p>
    <w:p w:rsidR="00CE7F4A" w:rsidRDefault="00CE7F4A">
      <w:pPr>
        <w:spacing w:after="0" w:line="240" w:lineRule="auto"/>
        <w:rPr>
          <w:b/>
          <w:lang w:val="en-GB" w:eastAsia="en-US"/>
        </w:rPr>
      </w:pPr>
      <w:r>
        <w:rPr>
          <w:b/>
          <w:lang w:val="en-GB"/>
        </w:rPr>
        <w:br w:type="page"/>
      </w:r>
    </w:p>
    <w:p w:rsidR="00B670A6" w:rsidRPr="009E43CE" w:rsidRDefault="00E56B05" w:rsidP="000A2D32">
      <w:pPr>
        <w:pStyle w:val="af5"/>
        <w:numPr>
          <w:ilvl w:val="0"/>
          <w:numId w:val="42"/>
        </w:numPr>
        <w:rPr>
          <w:b/>
          <w:lang w:val="en-GB"/>
        </w:rPr>
      </w:pPr>
      <w:r w:rsidRPr="009E43CE">
        <w:rPr>
          <w:b/>
          <w:lang w:val="en-GB"/>
        </w:rPr>
        <w:lastRenderedPageBreak/>
        <w:t xml:space="preserve">Option 2: Revise </w:t>
      </w:r>
      <w:r w:rsidR="000A2D32" w:rsidRPr="009E43CE">
        <w:rPr>
          <w:b/>
          <w:lang w:val="en-GB"/>
        </w:rPr>
        <w:t xml:space="preserve">38.133 </w:t>
      </w:r>
      <w:r w:rsidRPr="009E43CE">
        <w:rPr>
          <w:b/>
          <w:lang w:val="en-GB"/>
        </w:rPr>
        <w:t>to mandate UE to switch to new TCI</w:t>
      </w:r>
      <w:r w:rsidR="00087064" w:rsidRPr="009E43CE">
        <w:rPr>
          <w:b/>
          <w:lang w:val="en-GB"/>
        </w:rPr>
        <w:t xml:space="preserve"> </w:t>
      </w:r>
      <w:r w:rsidR="00C37BB2" w:rsidRPr="009E43CE">
        <w:rPr>
          <w:rFonts w:ascii="Calibri" w:eastAsia="SimSun" w:hAnsi="Calibri" w:cs="Arial"/>
          <w:b/>
          <w:bCs/>
        </w:rPr>
        <w:t>after</w:t>
      </w:r>
      <w:r w:rsidR="00087064" w:rsidRPr="009E43CE">
        <w:rPr>
          <w:rFonts w:ascii="Calibri" w:eastAsia="SimSun" w:hAnsi="Calibri" w:cs="Arial"/>
          <w:b/>
          <w:bCs/>
        </w:rPr>
        <w:t xml:space="preserve"> </w:t>
      </w:r>
      <w:r w:rsidR="00087064" w:rsidRPr="009E43CE">
        <w:rPr>
          <w:b/>
          <w:lang w:eastAsia="zh-CN"/>
        </w:rPr>
        <w:t>slot</w:t>
      </w:r>
      <w:r w:rsidR="00087064" w:rsidRPr="009E43CE">
        <w:rPr>
          <w:b/>
          <w:lang w:val="en-GB"/>
        </w:rPr>
        <w:t xml:space="preserve"> </w:t>
      </w:r>
      <w:r w:rsidR="00087064" w:rsidRPr="009E43CE">
        <w:rPr>
          <w:b/>
          <w:lang w:eastAsia="zh-CN"/>
        </w:rPr>
        <w:t>n+</w:t>
      </w:r>
      <w:r w:rsidR="00087064" w:rsidRPr="009E43CE">
        <w:rPr>
          <w:rFonts w:eastAsia="Malgun Gothic"/>
          <w:b/>
          <w:lang w:eastAsia="zh-CN"/>
        </w:rPr>
        <w:t xml:space="preserve"> T</w:t>
      </w:r>
      <w:r w:rsidR="00087064" w:rsidRPr="009E43CE">
        <w:rPr>
          <w:rFonts w:eastAsia="Malgun Gothic"/>
          <w:b/>
          <w:vertAlign w:val="subscript"/>
          <w:lang w:eastAsia="zh-CN"/>
        </w:rPr>
        <w:t>HARQ</w:t>
      </w:r>
      <w:r w:rsidR="00087064" w:rsidRPr="009E43CE">
        <w:rPr>
          <w:rFonts w:eastAsia="Malgun Gothic"/>
          <w:b/>
          <w:lang w:eastAsia="zh-CN"/>
        </w:rPr>
        <w:t xml:space="preserve"> +3 ms</w:t>
      </w:r>
      <w:r w:rsidRPr="009E43CE">
        <w:rPr>
          <w:b/>
          <w:lang w:val="en-GB"/>
        </w:rPr>
        <w:t xml:space="preserve">, but the performance is not guaranteed </w:t>
      </w:r>
      <w:r w:rsidR="00AE263C" w:rsidRPr="009E43CE">
        <w:rPr>
          <w:b/>
          <w:lang w:val="en-GB"/>
        </w:rPr>
        <w:t>during</w:t>
      </w:r>
      <w:r w:rsidR="00884796" w:rsidRPr="009E43CE">
        <w:rPr>
          <w:b/>
          <w:lang w:val="en-GB"/>
        </w:rPr>
        <w:t xml:space="preserve"> RAN4’s</w:t>
      </w:r>
      <w:r w:rsidR="00C37BB2" w:rsidRPr="009E43CE">
        <w:rPr>
          <w:b/>
          <w:lang w:val="en-GB"/>
        </w:rPr>
        <w:t xml:space="preserve"> </w:t>
      </w:r>
      <w:r w:rsidR="00AE263C" w:rsidRPr="009E43CE">
        <w:rPr>
          <w:b/>
          <w:lang w:val="en-GB"/>
        </w:rPr>
        <w:t xml:space="preserve">delay </w:t>
      </w:r>
      <w:r w:rsidRPr="009E43CE">
        <w:rPr>
          <w:b/>
          <w:lang w:val="en-GB"/>
        </w:rPr>
        <w:t>requirement</w:t>
      </w:r>
      <w:r w:rsidR="00C37BB2" w:rsidRPr="009E43CE">
        <w:rPr>
          <w:b/>
          <w:lang w:val="en-GB"/>
        </w:rPr>
        <w:t>.</w:t>
      </w:r>
    </w:p>
    <w:p w:rsidR="009E43CE" w:rsidRDefault="00CE7F4A" w:rsidP="00087064">
      <w:pPr>
        <w:rPr>
          <w:lang w:val="en-GB"/>
        </w:rPr>
      </w:pPr>
      <w:r>
        <w:rPr>
          <w:lang w:val="en-GB"/>
        </w:rPr>
        <w:t xml:space="preserve">The corresponding procedure is illustrated in </w:t>
      </w:r>
      <w:r w:rsidR="0098043D">
        <w:rPr>
          <w:lang w:val="en-GB"/>
        </w:rPr>
        <w:t xml:space="preserve">Figure </w:t>
      </w:r>
      <w:r>
        <w:rPr>
          <w:lang w:val="en-GB"/>
        </w:rPr>
        <w:t>2</w:t>
      </w:r>
      <w:r w:rsidR="009E43CE">
        <w:rPr>
          <w:lang w:val="en-GB"/>
        </w:rPr>
        <w:t xml:space="preserve">. </w:t>
      </w:r>
      <w:r w:rsidR="00B670A6">
        <w:rPr>
          <w:lang w:val="en-GB"/>
        </w:rPr>
        <w:t xml:space="preserve">The motivation </w:t>
      </w:r>
      <w:r>
        <w:rPr>
          <w:lang w:val="en-GB"/>
        </w:rPr>
        <w:t xml:space="preserve">of this option </w:t>
      </w:r>
      <w:r w:rsidR="00B670A6">
        <w:rPr>
          <w:lang w:val="en-GB"/>
        </w:rPr>
        <w:t xml:space="preserve">is </w:t>
      </w:r>
      <w:r w:rsidR="00884796">
        <w:rPr>
          <w:lang w:val="en-GB"/>
        </w:rPr>
        <w:t xml:space="preserve">not </w:t>
      </w:r>
      <w:r w:rsidR="00B670A6">
        <w:rPr>
          <w:lang w:val="en-GB"/>
        </w:rPr>
        <w:t xml:space="preserve">to </w:t>
      </w:r>
      <w:r w:rsidR="00B670A6" w:rsidRPr="00B670A6">
        <w:rPr>
          <w:lang w:val="en-GB"/>
        </w:rPr>
        <w:t>change the UE behaviour defined in RAN1 spec</w:t>
      </w:r>
      <w:r w:rsidR="00B670A6">
        <w:rPr>
          <w:lang w:val="en-GB"/>
        </w:rPr>
        <w:t xml:space="preserve">, but the performance will not be </w:t>
      </w:r>
      <w:r w:rsidR="00B670A6" w:rsidRPr="00C37BB2">
        <w:rPr>
          <w:lang w:val="en-GB"/>
        </w:rPr>
        <w:t>guaranteed</w:t>
      </w:r>
      <w:r w:rsidR="00B670A6">
        <w:rPr>
          <w:lang w:val="en-GB"/>
        </w:rPr>
        <w:t xml:space="preserve"> since </w:t>
      </w:r>
      <w:r w:rsidR="00884796">
        <w:rPr>
          <w:lang w:val="en-GB"/>
        </w:rPr>
        <w:t xml:space="preserve">the measurement samples for unknown TCI state and fine sync are not available. </w:t>
      </w:r>
    </w:p>
    <w:p w:rsidR="00CE7F4A" w:rsidRDefault="00CE7F4A" w:rsidP="00087064">
      <w:pPr>
        <w:rPr>
          <w:lang w:val="en-GB"/>
        </w:rPr>
      </w:pPr>
    </w:p>
    <w:p w:rsidR="009E43CE" w:rsidRDefault="00CE7F4A" w:rsidP="00CE7F4A">
      <w:pPr>
        <w:jc w:val="center"/>
        <w:rPr>
          <w:lang w:val="en-GB"/>
        </w:rPr>
      </w:pPr>
      <w:r>
        <w:rPr>
          <w:noProof/>
          <w:lang w:eastAsia="zh-TW"/>
        </w:rPr>
        <w:drawing>
          <wp:inline distT="0" distB="0" distL="0" distR="0">
            <wp:extent cx="5402231" cy="1424061"/>
            <wp:effectExtent l="0" t="0" r="8255" b="508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37581" cy="1433380"/>
                    </a:xfrm>
                    <a:prstGeom prst="rect">
                      <a:avLst/>
                    </a:prstGeom>
                    <a:noFill/>
                    <a:ln>
                      <a:noFill/>
                    </a:ln>
                  </pic:spPr>
                </pic:pic>
              </a:graphicData>
            </a:graphic>
          </wp:inline>
        </w:drawing>
      </w:r>
    </w:p>
    <w:p w:rsidR="00CE7F4A" w:rsidRPr="009E43CE" w:rsidRDefault="00CE7F4A" w:rsidP="00CE7F4A">
      <w:pPr>
        <w:jc w:val="center"/>
        <w:rPr>
          <w:lang w:val="en-GB"/>
        </w:rPr>
      </w:pPr>
      <w:r w:rsidRPr="009E43CE">
        <w:rPr>
          <w:rFonts w:ascii="Calibri" w:eastAsia="SimSun" w:hAnsi="Calibri" w:cs="Arial"/>
          <w:bCs/>
        </w:rPr>
        <w:t xml:space="preserve">Figure </w:t>
      </w:r>
      <w:r w:rsidRPr="009E43CE">
        <w:rPr>
          <w:rFonts w:ascii="Calibri" w:eastAsia="SimSun" w:hAnsi="Calibri" w:cs="Arial"/>
          <w:bCs/>
        </w:rPr>
        <w:fldChar w:fldCharType="begin"/>
      </w:r>
      <w:r w:rsidRPr="009E43CE">
        <w:rPr>
          <w:rFonts w:ascii="Calibri" w:eastAsia="SimSun" w:hAnsi="Calibri" w:cs="Arial"/>
          <w:bCs/>
        </w:rPr>
        <w:instrText xml:space="preserve"> SEQ Figure \* ARABIC </w:instrText>
      </w:r>
      <w:r w:rsidRPr="009E43CE">
        <w:rPr>
          <w:rFonts w:ascii="Calibri" w:eastAsia="SimSun" w:hAnsi="Calibri" w:cs="Arial"/>
          <w:bCs/>
        </w:rPr>
        <w:fldChar w:fldCharType="separate"/>
      </w:r>
      <w:r w:rsidR="000D36B1">
        <w:rPr>
          <w:rFonts w:ascii="Calibri" w:eastAsia="SimSun" w:hAnsi="Calibri" w:cs="Arial"/>
          <w:bCs/>
          <w:noProof/>
        </w:rPr>
        <w:t>2</w:t>
      </w:r>
      <w:r w:rsidRPr="009E43CE">
        <w:rPr>
          <w:rFonts w:ascii="Calibri" w:eastAsia="SimSun" w:hAnsi="Calibri" w:cs="Arial"/>
          <w:bCs/>
        </w:rPr>
        <w:fldChar w:fldCharType="end"/>
      </w:r>
      <w:r w:rsidRPr="009E43CE">
        <w:rPr>
          <w:rFonts w:ascii="Calibri" w:eastAsia="SimSun" w:hAnsi="Calibri" w:cs="Arial"/>
          <w:bCs/>
        </w:rPr>
        <w:t xml:space="preserve">. </w:t>
      </w:r>
      <w:r w:rsidR="000D36B1" w:rsidRPr="009E43CE">
        <w:rPr>
          <w:rFonts w:ascii="Calibri" w:eastAsia="SimSun" w:hAnsi="Calibri" w:cs="Arial"/>
          <w:bCs/>
        </w:rPr>
        <w:t xml:space="preserve">UE </w:t>
      </w:r>
      <w:r w:rsidR="000D36B1">
        <w:rPr>
          <w:rFonts w:ascii="Calibri" w:eastAsia="SimSun" w:hAnsi="Calibri" w:cs="Arial"/>
          <w:bCs/>
        </w:rPr>
        <w:t xml:space="preserve">behavior during TCI state switch </w:t>
      </w:r>
      <w:r>
        <w:rPr>
          <w:rFonts w:ascii="Calibri" w:eastAsia="SimSun" w:hAnsi="Calibri" w:cs="Arial"/>
          <w:bCs/>
        </w:rPr>
        <w:t>(Option 2)</w:t>
      </w:r>
      <w:r w:rsidRPr="009E43CE">
        <w:rPr>
          <w:rFonts w:ascii="Calibri" w:eastAsia="SimSun" w:hAnsi="Calibri" w:cs="Arial"/>
          <w:bCs/>
        </w:rPr>
        <w:t>.</w:t>
      </w:r>
    </w:p>
    <w:p w:rsidR="009E43CE" w:rsidRPr="00087064" w:rsidRDefault="009E43CE" w:rsidP="00087064">
      <w:pPr>
        <w:rPr>
          <w:lang w:val="en-GB"/>
        </w:rPr>
      </w:pPr>
    </w:p>
    <w:p w:rsidR="00E56B05" w:rsidRPr="009E43CE" w:rsidRDefault="00E56B05" w:rsidP="00884796">
      <w:pPr>
        <w:pStyle w:val="af5"/>
        <w:numPr>
          <w:ilvl w:val="0"/>
          <w:numId w:val="42"/>
        </w:numPr>
        <w:rPr>
          <w:b/>
          <w:lang w:val="en-GB"/>
        </w:rPr>
      </w:pPr>
      <w:r w:rsidRPr="009E43CE">
        <w:rPr>
          <w:b/>
          <w:lang w:val="en-GB"/>
        </w:rPr>
        <w:t xml:space="preserve">Option 3: </w:t>
      </w:r>
      <w:r w:rsidR="00884796" w:rsidRPr="009E43CE">
        <w:rPr>
          <w:b/>
          <w:lang w:val="en-GB"/>
        </w:rPr>
        <w:t>Up to UE’s implementation on w</w:t>
      </w:r>
      <w:r w:rsidRPr="009E43CE">
        <w:rPr>
          <w:b/>
          <w:lang w:val="en-GB"/>
        </w:rPr>
        <w:t>hether UE</w:t>
      </w:r>
      <w:r w:rsidR="00884796" w:rsidRPr="009E43CE">
        <w:rPr>
          <w:b/>
          <w:lang w:val="en-GB"/>
        </w:rPr>
        <w:t xml:space="preserve"> stay in old or switch to new </w:t>
      </w:r>
      <w:r w:rsidR="008E2951" w:rsidRPr="009E43CE">
        <w:rPr>
          <w:b/>
          <w:lang w:val="en-GB"/>
        </w:rPr>
        <w:t xml:space="preserve">TCI state </w:t>
      </w:r>
      <w:r w:rsidR="00884796" w:rsidRPr="009E43CE">
        <w:rPr>
          <w:b/>
          <w:lang w:val="en-GB"/>
        </w:rPr>
        <w:t>during RAN4’s delay requirement.</w:t>
      </w:r>
    </w:p>
    <w:p w:rsidR="000A2D32" w:rsidRDefault="00CE7F4A" w:rsidP="00CE7F4A">
      <w:pPr>
        <w:rPr>
          <w:lang w:val="en-GB"/>
        </w:rPr>
      </w:pPr>
      <w:r>
        <w:rPr>
          <w:lang w:val="en-GB"/>
        </w:rPr>
        <w:t xml:space="preserve">The corresponding procedure is illustrated in </w:t>
      </w:r>
      <w:r w:rsidR="00DA2996">
        <w:rPr>
          <w:lang w:val="en-GB"/>
        </w:rPr>
        <w:t>F</w:t>
      </w:r>
      <w:r>
        <w:rPr>
          <w:lang w:val="en-GB"/>
        </w:rPr>
        <w:t xml:space="preserve">igure 3. </w:t>
      </w:r>
      <w:r w:rsidR="00884796">
        <w:rPr>
          <w:lang w:val="en-GB"/>
        </w:rPr>
        <w:t>The motivation</w:t>
      </w:r>
      <w:r w:rsidRPr="00CE7F4A">
        <w:rPr>
          <w:lang w:val="en-GB"/>
        </w:rPr>
        <w:t xml:space="preserve"> </w:t>
      </w:r>
      <w:r>
        <w:rPr>
          <w:lang w:val="en-GB"/>
        </w:rPr>
        <w:t>of this option</w:t>
      </w:r>
      <w:r w:rsidR="00884796">
        <w:rPr>
          <w:lang w:val="en-GB"/>
        </w:rPr>
        <w:t xml:space="preserve"> is that </w:t>
      </w:r>
      <w:r w:rsidR="000A2D32" w:rsidRPr="000A2D32">
        <w:rPr>
          <w:lang w:val="en-GB"/>
        </w:rPr>
        <w:t>UE knows better than network about when it is ready.</w:t>
      </w:r>
    </w:p>
    <w:p w:rsidR="00CE7F4A" w:rsidRPr="00CE7F4A" w:rsidRDefault="00CE7F4A" w:rsidP="00CE7F4A">
      <w:pPr>
        <w:rPr>
          <w:lang w:val="en-GB"/>
        </w:rPr>
      </w:pPr>
    </w:p>
    <w:p w:rsidR="00884796" w:rsidRPr="000D36B1" w:rsidRDefault="00CE7F4A" w:rsidP="000D36B1">
      <w:pPr>
        <w:jc w:val="center"/>
        <w:rPr>
          <w:lang w:val="en-GB"/>
        </w:rPr>
      </w:pPr>
      <w:r>
        <w:rPr>
          <w:noProof/>
          <w:lang w:eastAsia="zh-TW"/>
        </w:rPr>
        <w:drawing>
          <wp:inline distT="0" distB="0" distL="0" distR="0">
            <wp:extent cx="5076169" cy="1312630"/>
            <wp:effectExtent l="0" t="0" r="0" b="190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48491" cy="1331331"/>
                    </a:xfrm>
                    <a:prstGeom prst="rect">
                      <a:avLst/>
                    </a:prstGeom>
                    <a:noFill/>
                    <a:ln>
                      <a:noFill/>
                    </a:ln>
                  </pic:spPr>
                </pic:pic>
              </a:graphicData>
            </a:graphic>
          </wp:inline>
        </w:drawing>
      </w:r>
    </w:p>
    <w:p w:rsidR="009E43CE" w:rsidRDefault="00CE7F4A" w:rsidP="000D36B1">
      <w:pPr>
        <w:jc w:val="center"/>
        <w:rPr>
          <w:lang w:val="en-GB"/>
        </w:rPr>
      </w:pPr>
      <w:r w:rsidRPr="009E43CE">
        <w:rPr>
          <w:rFonts w:ascii="Calibri" w:eastAsia="SimSun" w:hAnsi="Calibri" w:cs="Arial"/>
          <w:bCs/>
        </w:rPr>
        <w:t xml:space="preserve">Figure </w:t>
      </w:r>
      <w:r w:rsidRPr="009E43CE">
        <w:rPr>
          <w:rFonts w:ascii="Calibri" w:eastAsia="SimSun" w:hAnsi="Calibri" w:cs="Arial"/>
          <w:bCs/>
        </w:rPr>
        <w:fldChar w:fldCharType="begin"/>
      </w:r>
      <w:r w:rsidRPr="009E43CE">
        <w:rPr>
          <w:rFonts w:ascii="Calibri" w:eastAsia="SimSun" w:hAnsi="Calibri" w:cs="Arial"/>
          <w:bCs/>
        </w:rPr>
        <w:instrText xml:space="preserve"> SEQ Figure \* ARABIC </w:instrText>
      </w:r>
      <w:r w:rsidRPr="009E43CE">
        <w:rPr>
          <w:rFonts w:ascii="Calibri" w:eastAsia="SimSun" w:hAnsi="Calibri" w:cs="Arial"/>
          <w:bCs/>
        </w:rPr>
        <w:fldChar w:fldCharType="separate"/>
      </w:r>
      <w:r w:rsidR="000D36B1">
        <w:rPr>
          <w:rFonts w:ascii="Calibri" w:eastAsia="SimSun" w:hAnsi="Calibri" w:cs="Arial"/>
          <w:bCs/>
          <w:noProof/>
        </w:rPr>
        <w:t>3</w:t>
      </w:r>
      <w:r w:rsidRPr="009E43CE">
        <w:rPr>
          <w:rFonts w:ascii="Calibri" w:eastAsia="SimSun" w:hAnsi="Calibri" w:cs="Arial"/>
          <w:bCs/>
        </w:rPr>
        <w:fldChar w:fldCharType="end"/>
      </w:r>
      <w:r w:rsidRPr="009E43CE">
        <w:rPr>
          <w:rFonts w:ascii="Calibri" w:eastAsia="SimSun" w:hAnsi="Calibri" w:cs="Arial"/>
          <w:bCs/>
        </w:rPr>
        <w:t xml:space="preserve">. UE </w:t>
      </w:r>
      <w:r w:rsidR="000D36B1">
        <w:rPr>
          <w:rFonts w:ascii="Calibri" w:eastAsia="SimSun" w:hAnsi="Calibri" w:cs="Arial"/>
          <w:bCs/>
        </w:rPr>
        <w:t>behavior during TCI state switch</w:t>
      </w:r>
      <w:r>
        <w:rPr>
          <w:rFonts w:ascii="Calibri" w:eastAsia="SimSun" w:hAnsi="Calibri" w:cs="Arial"/>
          <w:bCs/>
        </w:rPr>
        <w:t xml:space="preserve"> (Option 3)</w:t>
      </w:r>
      <w:r w:rsidRPr="009E43CE">
        <w:rPr>
          <w:rFonts w:ascii="Calibri" w:eastAsia="SimSun" w:hAnsi="Calibri" w:cs="Arial"/>
          <w:bCs/>
        </w:rPr>
        <w:t>.</w:t>
      </w:r>
    </w:p>
    <w:p w:rsidR="000D36B1" w:rsidRPr="000D36B1" w:rsidRDefault="000D36B1" w:rsidP="000D36B1">
      <w:pPr>
        <w:jc w:val="center"/>
        <w:rPr>
          <w:lang w:val="en-GB"/>
        </w:rPr>
      </w:pPr>
    </w:p>
    <w:p w:rsidR="00486060" w:rsidRDefault="000A68FD" w:rsidP="000D36B1">
      <w:pPr>
        <w:pStyle w:val="af1"/>
        <w:jc w:val="both"/>
        <w:rPr>
          <w:rFonts w:ascii="Calibri" w:eastAsia="SimSun" w:hAnsi="Calibri" w:cs="Arial"/>
          <w:bCs/>
          <w:sz w:val="22"/>
          <w:szCs w:val="22"/>
        </w:rPr>
      </w:pPr>
      <w:bookmarkStart w:id="3" w:name="_Ref16588132"/>
      <w:r w:rsidRPr="008463A6">
        <w:rPr>
          <w:rFonts w:ascii="Calibri" w:eastAsia="SimSun" w:hAnsi="Calibri" w:cs="Arial"/>
          <w:bCs/>
          <w:sz w:val="22"/>
          <w:szCs w:val="22"/>
        </w:rPr>
        <w:t xml:space="preserve">Proposal </w:t>
      </w:r>
      <w:r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Pr="008463A6">
        <w:rPr>
          <w:rFonts w:ascii="Calibri" w:eastAsia="SimSun" w:hAnsi="Calibri" w:cs="Arial"/>
          <w:bCs/>
          <w:sz w:val="22"/>
          <w:szCs w:val="22"/>
        </w:rPr>
        <w:fldChar w:fldCharType="separate"/>
      </w:r>
      <w:r w:rsidR="000D36B1">
        <w:rPr>
          <w:rFonts w:ascii="Calibri" w:eastAsia="SimSun" w:hAnsi="Calibri" w:cs="Arial"/>
          <w:bCs/>
          <w:noProof/>
          <w:sz w:val="22"/>
          <w:szCs w:val="22"/>
        </w:rPr>
        <w:t>1</w:t>
      </w:r>
      <w:r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r>
        <w:rPr>
          <w:rFonts w:ascii="Calibri" w:eastAsia="SimSun" w:hAnsi="Calibri" w:cs="Arial"/>
          <w:bCs/>
          <w:sz w:val="22"/>
          <w:szCs w:val="22"/>
        </w:rPr>
        <w:t xml:space="preserve">RAN4 to discuss the alignment between 38.133 and 38.213 for UE behavior during TCI </w:t>
      </w:r>
      <w:r w:rsidR="000D36B1">
        <w:rPr>
          <w:rFonts w:ascii="Calibri" w:eastAsia="SimSun" w:hAnsi="Calibri" w:cs="Arial"/>
          <w:bCs/>
          <w:sz w:val="22"/>
          <w:szCs w:val="22"/>
        </w:rPr>
        <w:t xml:space="preserve">state </w:t>
      </w:r>
      <w:r>
        <w:rPr>
          <w:rFonts w:ascii="Calibri" w:eastAsia="SimSun" w:hAnsi="Calibri" w:cs="Arial"/>
          <w:bCs/>
          <w:sz w:val="22"/>
          <w:szCs w:val="22"/>
        </w:rPr>
        <w:t>switch</w:t>
      </w:r>
      <w:r w:rsidRPr="00D05697">
        <w:rPr>
          <w:rFonts w:ascii="Calibri" w:eastAsia="SimSun" w:hAnsi="Calibri" w:cs="Arial"/>
          <w:bCs/>
          <w:sz w:val="22"/>
          <w:szCs w:val="22"/>
        </w:rPr>
        <w:t>.</w:t>
      </w:r>
      <w:r>
        <w:rPr>
          <w:rFonts w:ascii="Calibri" w:eastAsia="SimSun" w:hAnsi="Calibri" w:cs="Arial"/>
          <w:bCs/>
          <w:sz w:val="22"/>
          <w:szCs w:val="22"/>
        </w:rPr>
        <w:t xml:space="preserve"> The conclusion should be applied to </w:t>
      </w:r>
      <w:r w:rsidR="000D36B1">
        <w:rPr>
          <w:rFonts w:ascii="Calibri" w:eastAsia="SimSun" w:hAnsi="Calibri" w:cs="Arial"/>
          <w:bCs/>
          <w:sz w:val="22"/>
          <w:szCs w:val="22"/>
        </w:rPr>
        <w:t xml:space="preserve">all scenarios of TCI </w:t>
      </w:r>
      <w:r w:rsidR="00DA2996">
        <w:rPr>
          <w:rFonts w:ascii="Calibri" w:eastAsia="SimSun" w:hAnsi="Calibri" w:cs="Arial"/>
          <w:bCs/>
          <w:sz w:val="22"/>
          <w:szCs w:val="22"/>
        </w:rPr>
        <w:t xml:space="preserve">state </w:t>
      </w:r>
      <w:r w:rsidR="000D36B1">
        <w:rPr>
          <w:rFonts w:ascii="Calibri" w:eastAsia="SimSun" w:hAnsi="Calibri" w:cs="Arial"/>
          <w:bCs/>
          <w:sz w:val="22"/>
          <w:szCs w:val="22"/>
        </w:rPr>
        <w:t>switch (e.g. RRC-based switch),</w:t>
      </w:r>
      <w:r w:rsidR="000D36B1" w:rsidRPr="000D36B1">
        <w:rPr>
          <w:rFonts w:ascii="Calibri" w:eastAsia="SimSun" w:hAnsi="Calibri" w:cs="Arial"/>
          <w:bCs/>
          <w:sz w:val="22"/>
          <w:szCs w:val="22"/>
        </w:rPr>
        <w:t xml:space="preserve"> </w:t>
      </w:r>
      <w:r w:rsidR="000D36B1">
        <w:rPr>
          <w:rFonts w:ascii="Calibri" w:eastAsia="SimSun" w:hAnsi="Calibri" w:cs="Arial"/>
          <w:bCs/>
          <w:sz w:val="22"/>
          <w:szCs w:val="22"/>
        </w:rPr>
        <w:t>if applicable.</w:t>
      </w:r>
      <w:bookmarkEnd w:id="3"/>
      <w:r>
        <w:rPr>
          <w:rFonts w:ascii="Calibri" w:eastAsia="SimSun" w:hAnsi="Calibri" w:cs="Arial"/>
          <w:bCs/>
          <w:sz w:val="22"/>
          <w:szCs w:val="22"/>
        </w:rPr>
        <w:t xml:space="preserve"> </w:t>
      </w:r>
    </w:p>
    <w:p w:rsidR="000D36B1" w:rsidRPr="000D36B1" w:rsidRDefault="000D36B1" w:rsidP="000D36B1"/>
    <w:p w:rsidR="00CE0D5E" w:rsidRPr="000C45FD" w:rsidRDefault="00141644" w:rsidP="00CE0D5E">
      <w:pPr>
        <w:pStyle w:val="1"/>
        <w:numPr>
          <w:ilvl w:val="0"/>
          <w:numId w:val="2"/>
        </w:numPr>
        <w:rPr>
          <w:rFonts w:ascii="Calibri" w:hAnsi="Calibri"/>
          <w:lang w:eastAsia="zh-CN"/>
        </w:rPr>
      </w:pPr>
      <w:r>
        <w:rPr>
          <w:rFonts w:ascii="Calibri" w:hAnsi="Calibri"/>
        </w:rPr>
        <w:t>Summary</w:t>
      </w:r>
    </w:p>
    <w:p w:rsidR="001E7AC0" w:rsidRDefault="006F7557" w:rsidP="001E7AC0">
      <w:pPr>
        <w:adjustRightInd w:val="0"/>
        <w:snapToGrid w:val="0"/>
        <w:spacing w:before="180" w:after="120"/>
        <w:jc w:val="both"/>
      </w:pPr>
      <w:r w:rsidRPr="00E0086B">
        <w:rPr>
          <w:rFonts w:hint="eastAsia"/>
        </w:rPr>
        <w:t xml:space="preserve">In this </w:t>
      </w:r>
      <w:r w:rsidRPr="00E0086B">
        <w:t>paper,</w:t>
      </w:r>
      <w:r w:rsidR="00FB24ED" w:rsidRPr="00E0086B">
        <w:rPr>
          <w:rFonts w:hint="eastAsia"/>
        </w:rPr>
        <w:t xml:space="preserve"> </w:t>
      </w:r>
      <w:r w:rsidR="000D3205" w:rsidRPr="00E0086B">
        <w:t xml:space="preserve">we discuss the </w:t>
      </w:r>
      <w:r w:rsidR="00E0086B">
        <w:t>requirement of r</w:t>
      </w:r>
      <w:r w:rsidR="00E0086B" w:rsidRPr="00E0086B">
        <w:t>eceiving on the old TCI state</w:t>
      </w:r>
      <w:r w:rsidR="00E0086B">
        <w:t xml:space="preserve"> during TCI state switching</w:t>
      </w:r>
      <w:r w:rsidR="000D3205" w:rsidRPr="00E0086B">
        <w:t>. We have the following observations and proposals</w:t>
      </w:r>
    </w:p>
    <w:p w:rsidR="000D36B1" w:rsidRDefault="000D36B1" w:rsidP="001E7AC0">
      <w:pPr>
        <w:adjustRightInd w:val="0"/>
        <w:snapToGrid w:val="0"/>
        <w:spacing w:before="180" w:after="120"/>
        <w:jc w:val="both"/>
      </w:pPr>
      <w:r>
        <w:lastRenderedPageBreak/>
        <w:fldChar w:fldCharType="begin"/>
      </w:r>
      <w:r>
        <w:instrText xml:space="preserve"> REF _Ref16588122 \h </w:instrText>
      </w:r>
      <w:r>
        <w:fldChar w:fldCharType="separate"/>
      </w:r>
      <w:r w:rsidRPr="009767D2">
        <w:rPr>
          <w:rFonts w:ascii="Calibri" w:eastAsia="SimSun" w:hAnsi="Calibri" w:cs="Arial"/>
          <w:b/>
          <w:bCs/>
        </w:rPr>
        <w:t xml:space="preserve">Observation </w:t>
      </w:r>
      <w:r>
        <w:rPr>
          <w:rFonts w:ascii="Calibri" w:eastAsia="SimSun" w:hAnsi="Calibri" w:cs="Arial"/>
          <w:b/>
          <w:bCs/>
          <w:noProof/>
        </w:rPr>
        <w:t>1</w:t>
      </w:r>
      <w:r w:rsidRPr="009767D2">
        <w:rPr>
          <w:rFonts w:ascii="Calibri" w:eastAsia="SimSun" w:hAnsi="Calibri" w:cs="Arial"/>
          <w:b/>
          <w:bCs/>
        </w:rPr>
        <w:t xml:space="preserve">: </w:t>
      </w:r>
      <w:r>
        <w:rPr>
          <w:rFonts w:ascii="Calibri" w:eastAsia="SimSun" w:hAnsi="Calibri" w:cs="Arial"/>
          <w:b/>
          <w:bCs/>
        </w:rPr>
        <w:t xml:space="preserve">For MAC-CE based TCI state switch in 38.133, UE keeps old TCI state until </w:t>
      </w:r>
      <w:r w:rsidRPr="008B201E">
        <w:rPr>
          <w:b/>
        </w:rPr>
        <w:t xml:space="preserve">slot </w:t>
      </w:r>
      <w:r w:rsidRPr="008B201E">
        <w:rPr>
          <w:b/>
          <w:i/>
        </w:rPr>
        <w:t>n</w:t>
      </w:r>
      <w:r w:rsidRPr="008B201E">
        <w:rPr>
          <w:b/>
        </w:rPr>
        <w:t>+</w:t>
      </w:r>
      <w:r w:rsidRPr="008B201E">
        <w:rPr>
          <w:rFonts w:eastAsia="Malgun Gothic"/>
          <w:b/>
        </w:rPr>
        <w:t xml:space="preserve"> T</w:t>
      </w:r>
      <w:r w:rsidRPr="008B201E">
        <w:rPr>
          <w:rFonts w:eastAsia="Malgun Gothic"/>
          <w:b/>
          <w:vertAlign w:val="subscript"/>
        </w:rPr>
        <w:t>HARQ</w:t>
      </w:r>
      <w:r w:rsidRPr="008B201E">
        <w:rPr>
          <w:rFonts w:eastAsia="Malgun Gothic"/>
          <w:b/>
        </w:rPr>
        <w:t xml:space="preserve"> +3 ms +TO</w:t>
      </w:r>
      <w:r w:rsidRPr="008B201E">
        <w:rPr>
          <w:rFonts w:eastAsia="Malgun Gothic"/>
          <w:b/>
          <w:vertAlign w:val="subscript"/>
        </w:rPr>
        <w:t>k</w:t>
      </w:r>
      <w:r w:rsidRPr="008B201E">
        <w:rPr>
          <w:rFonts w:eastAsia="Malgun Gothic"/>
          <w:b/>
        </w:rPr>
        <w:t>*(T</w:t>
      </w:r>
      <w:r w:rsidRPr="008B201E">
        <w:rPr>
          <w:rFonts w:eastAsia="Malgun Gothic"/>
          <w:b/>
          <w:vertAlign w:val="subscript"/>
        </w:rPr>
        <w:t>first-SSB</w:t>
      </w:r>
      <w:r w:rsidRPr="008B201E">
        <w:rPr>
          <w:b/>
        </w:rPr>
        <w:t>)</w:t>
      </w:r>
      <w:r>
        <w:rPr>
          <w:b/>
        </w:rPr>
        <w:t xml:space="preserve"> if the TCI state is known; </w:t>
      </w:r>
      <w:r>
        <w:rPr>
          <w:rFonts w:ascii="Calibri" w:eastAsia="SimSun" w:hAnsi="Calibri" w:cs="Arial"/>
          <w:b/>
          <w:bCs/>
        </w:rPr>
        <w:t xml:space="preserve">UE keeps old TCI state until </w:t>
      </w:r>
      <w:r w:rsidRPr="008B201E">
        <w:rPr>
          <w:b/>
        </w:rPr>
        <w:t xml:space="preserve">slot </w:t>
      </w:r>
      <w:r w:rsidRPr="008B201E">
        <w:rPr>
          <w:b/>
          <w:i/>
        </w:rPr>
        <w:t>n</w:t>
      </w:r>
      <w:r w:rsidRPr="008B201E">
        <w:rPr>
          <w:b/>
        </w:rPr>
        <w:t>+</w:t>
      </w:r>
      <w:r w:rsidRPr="008B201E">
        <w:rPr>
          <w:rFonts w:eastAsia="Malgun Gothic"/>
          <w:b/>
        </w:rPr>
        <w:t xml:space="preserve"> T</w:t>
      </w:r>
      <w:r w:rsidRPr="008B201E">
        <w:rPr>
          <w:rFonts w:eastAsia="Malgun Gothic"/>
          <w:b/>
          <w:vertAlign w:val="subscript"/>
        </w:rPr>
        <w:t>HARQ</w:t>
      </w:r>
      <w:r w:rsidRPr="008B201E">
        <w:rPr>
          <w:rFonts w:eastAsia="Malgun Gothic"/>
          <w:b/>
        </w:rPr>
        <w:t xml:space="preserve"> +3 ms + </w:t>
      </w:r>
      <w:r w:rsidRPr="008B201E">
        <w:rPr>
          <w:b/>
          <w:lang w:eastAsia="en-GB"/>
        </w:rPr>
        <w:t>T</w:t>
      </w:r>
      <w:r w:rsidRPr="008B201E">
        <w:rPr>
          <w:b/>
          <w:vertAlign w:val="subscript"/>
          <w:lang w:eastAsia="en-GB"/>
        </w:rPr>
        <w:t>L1-RSRP</w:t>
      </w:r>
      <w:r w:rsidRPr="008B201E">
        <w:rPr>
          <w:rFonts w:eastAsia="Malgun Gothic"/>
        </w:rPr>
        <w:t xml:space="preserve"> </w:t>
      </w:r>
      <w:r w:rsidRPr="008B201E">
        <w:rPr>
          <w:rFonts w:eastAsia="Malgun Gothic"/>
          <w:b/>
        </w:rPr>
        <w:t>+TO</w:t>
      </w:r>
      <w:r w:rsidRPr="008B201E">
        <w:rPr>
          <w:rFonts w:eastAsia="Malgun Gothic"/>
          <w:b/>
          <w:vertAlign w:val="subscript"/>
        </w:rPr>
        <w:t>k</w:t>
      </w:r>
      <w:r w:rsidRPr="008B201E">
        <w:rPr>
          <w:rFonts w:eastAsia="Malgun Gothic"/>
          <w:b/>
        </w:rPr>
        <w:t>*(T</w:t>
      </w:r>
      <w:r w:rsidRPr="008B201E">
        <w:rPr>
          <w:rFonts w:eastAsia="Malgun Gothic"/>
          <w:b/>
          <w:vertAlign w:val="subscript"/>
        </w:rPr>
        <w:t>first-SSB</w:t>
      </w:r>
      <w:r w:rsidRPr="008B201E">
        <w:rPr>
          <w:b/>
        </w:rPr>
        <w:t>)</w:t>
      </w:r>
      <w:r>
        <w:rPr>
          <w:b/>
        </w:rPr>
        <w:t xml:space="preserve"> if the TCI state is unknown.</w:t>
      </w:r>
      <w:r>
        <w:fldChar w:fldCharType="end"/>
      </w:r>
    </w:p>
    <w:p w:rsidR="000D36B1" w:rsidRDefault="000D36B1" w:rsidP="001E7AC0">
      <w:pPr>
        <w:adjustRightInd w:val="0"/>
        <w:snapToGrid w:val="0"/>
        <w:spacing w:before="180" w:after="120"/>
        <w:jc w:val="both"/>
      </w:pPr>
      <w:r>
        <w:fldChar w:fldCharType="begin"/>
      </w:r>
      <w:r>
        <w:instrText xml:space="preserve"> REF _Ref16588125 \h </w:instrText>
      </w:r>
      <w:r>
        <w:fldChar w:fldCharType="separate"/>
      </w:r>
      <w:r w:rsidRPr="009767D2">
        <w:rPr>
          <w:rFonts w:ascii="Calibri" w:eastAsia="SimSun" w:hAnsi="Calibri" w:cs="Arial"/>
          <w:b/>
          <w:bCs/>
        </w:rPr>
        <w:t xml:space="preserve">Observation </w:t>
      </w:r>
      <w:r>
        <w:rPr>
          <w:rFonts w:ascii="Calibri" w:eastAsia="SimSun" w:hAnsi="Calibri" w:cs="Arial"/>
          <w:b/>
          <w:bCs/>
          <w:noProof/>
        </w:rPr>
        <w:t>2</w:t>
      </w:r>
      <w:r w:rsidRPr="009767D2">
        <w:rPr>
          <w:rFonts w:ascii="Calibri" w:eastAsia="SimSun" w:hAnsi="Calibri" w:cs="Arial"/>
          <w:b/>
          <w:bCs/>
        </w:rPr>
        <w:t xml:space="preserve">: </w:t>
      </w:r>
      <w:r>
        <w:rPr>
          <w:rFonts w:ascii="Calibri" w:eastAsia="SimSun" w:hAnsi="Calibri" w:cs="Arial"/>
          <w:b/>
          <w:bCs/>
        </w:rPr>
        <w:t xml:space="preserve">For MAC-CE based TCI state switch in 38.213, UE switches to new TCI-state </w:t>
      </w:r>
      <w:r w:rsidRPr="00B226C3">
        <w:rPr>
          <w:b/>
        </w:rPr>
        <w:t>after slot</w:t>
      </w:r>
      <w:r>
        <w:rPr>
          <w:b/>
        </w:rPr>
        <w:t xml:space="preserve"> </w:t>
      </w:r>
      <w:r w:rsidRPr="008B201E">
        <w:rPr>
          <w:b/>
          <w:i/>
        </w:rPr>
        <w:t>n</w:t>
      </w:r>
      <w:r w:rsidRPr="008B201E">
        <w:rPr>
          <w:b/>
        </w:rPr>
        <w:t>+</w:t>
      </w:r>
      <w:r w:rsidRPr="008B201E">
        <w:rPr>
          <w:rFonts w:eastAsia="Malgun Gothic"/>
          <w:b/>
        </w:rPr>
        <w:t xml:space="preserve"> T</w:t>
      </w:r>
      <w:r w:rsidRPr="008B201E">
        <w:rPr>
          <w:rFonts w:eastAsia="Malgun Gothic"/>
          <w:b/>
          <w:vertAlign w:val="subscript"/>
        </w:rPr>
        <w:t>HARQ</w:t>
      </w:r>
      <w:r w:rsidRPr="008B201E">
        <w:rPr>
          <w:rFonts w:eastAsia="Malgun Gothic"/>
          <w:b/>
        </w:rPr>
        <w:t xml:space="preserve"> +3 ms</w:t>
      </w:r>
      <w:r w:rsidRPr="00B226C3">
        <w:rPr>
          <w:b/>
        </w:rPr>
        <w:t>.</w:t>
      </w:r>
      <w:r>
        <w:fldChar w:fldCharType="end"/>
      </w:r>
    </w:p>
    <w:p w:rsidR="000D36B1" w:rsidRPr="000D36B1" w:rsidRDefault="000D36B1" w:rsidP="001E7AC0">
      <w:pPr>
        <w:adjustRightInd w:val="0"/>
        <w:snapToGrid w:val="0"/>
        <w:spacing w:before="180" w:after="120"/>
        <w:jc w:val="both"/>
        <w:rPr>
          <w:b/>
        </w:rPr>
      </w:pPr>
      <w:r w:rsidRPr="000D36B1">
        <w:rPr>
          <w:b/>
        </w:rPr>
        <w:fldChar w:fldCharType="begin"/>
      </w:r>
      <w:r w:rsidRPr="000D36B1">
        <w:rPr>
          <w:b/>
        </w:rPr>
        <w:instrText xml:space="preserve"> REF _Ref16588132 \h </w:instrText>
      </w:r>
      <w:r>
        <w:rPr>
          <w:b/>
        </w:rPr>
        <w:instrText xml:space="preserve"> \* MERGEFORMAT </w:instrText>
      </w:r>
      <w:r w:rsidRPr="000D36B1">
        <w:rPr>
          <w:b/>
        </w:rPr>
      </w:r>
      <w:r w:rsidRPr="000D36B1">
        <w:rPr>
          <w:b/>
        </w:rPr>
        <w:fldChar w:fldCharType="separate"/>
      </w:r>
      <w:r w:rsidR="00DA2996" w:rsidRPr="00DA2996">
        <w:rPr>
          <w:rFonts w:ascii="Calibri" w:eastAsia="SimSun" w:hAnsi="Calibri" w:cs="Arial"/>
          <w:b/>
          <w:bCs/>
        </w:rPr>
        <w:t xml:space="preserve">Proposal </w:t>
      </w:r>
      <w:r w:rsidR="00DA2996" w:rsidRPr="00DA2996">
        <w:rPr>
          <w:rFonts w:ascii="Calibri" w:eastAsia="SimSun" w:hAnsi="Calibri" w:cs="Arial"/>
          <w:b/>
          <w:bCs/>
          <w:noProof/>
        </w:rPr>
        <w:t>1</w:t>
      </w:r>
      <w:r w:rsidR="00DA2996" w:rsidRPr="00DA2996">
        <w:rPr>
          <w:rFonts w:ascii="Calibri" w:eastAsia="SimSun" w:hAnsi="Calibri" w:cs="Arial"/>
          <w:b/>
          <w:bCs/>
        </w:rPr>
        <w:t>: RAN4 to discuss the alignment between 38.133 and 38.213 for UE behavior during TCI state switch. The conclusion should be applied to all scenarios of TCI state switch (e.g. RRC-based switch)</w:t>
      </w:r>
      <w:r w:rsidR="00DA2996" w:rsidRPr="00DA2996">
        <w:rPr>
          <w:rFonts w:ascii="Calibri" w:eastAsia="SimSun" w:hAnsi="Calibri" w:cs="Arial"/>
          <w:bCs/>
        </w:rPr>
        <w:t xml:space="preserve">, if </w:t>
      </w:r>
      <w:r w:rsidR="00DA2996" w:rsidRPr="00DA2996">
        <w:rPr>
          <w:rFonts w:ascii="Calibri" w:eastAsia="SimSun" w:hAnsi="Calibri" w:cs="Arial"/>
          <w:b/>
          <w:bCs/>
        </w:rPr>
        <w:t>applicable.</w:t>
      </w:r>
      <w:r w:rsidRPr="000D36B1">
        <w:rPr>
          <w:b/>
        </w:rPr>
        <w:fldChar w:fldCharType="end"/>
      </w:r>
    </w:p>
    <w:p w:rsidR="00D63646" w:rsidRDefault="000F20AC" w:rsidP="00D63646">
      <w:pPr>
        <w:pStyle w:val="1"/>
        <w:numPr>
          <w:ilvl w:val="0"/>
          <w:numId w:val="2"/>
        </w:numPr>
        <w:rPr>
          <w:rFonts w:ascii="Calibri" w:hAnsi="Calibri"/>
        </w:rPr>
      </w:pPr>
      <w:r w:rsidRPr="000C45FD">
        <w:rPr>
          <w:rFonts w:ascii="Calibri" w:hAnsi="Calibri"/>
        </w:rPr>
        <w:t>References</w:t>
      </w:r>
    </w:p>
    <w:p w:rsidR="00C80529" w:rsidRDefault="008B201E" w:rsidP="00C80529">
      <w:pPr>
        <w:rPr>
          <w:rFonts w:eastAsia="新細明體" w:cs="Calibri"/>
          <w:color w:val="0D0D0D"/>
          <w:lang w:eastAsia="zh-TW"/>
        </w:rPr>
      </w:pPr>
      <w:r>
        <w:rPr>
          <w:lang w:val="en-GB" w:eastAsia="en-US"/>
        </w:rPr>
        <w:t>[1</w:t>
      </w:r>
      <w:r w:rsidR="00C80529">
        <w:rPr>
          <w:lang w:val="en-GB" w:eastAsia="en-US"/>
        </w:rPr>
        <w:t xml:space="preserve">] </w:t>
      </w:r>
      <w:r w:rsidR="00C80529">
        <w:rPr>
          <w:rFonts w:eastAsia="新細明體" w:cs="Calibri"/>
          <w:color w:val="0D0D0D"/>
          <w:lang w:eastAsia="zh-TW"/>
        </w:rPr>
        <w:t>TS38.133</w:t>
      </w:r>
      <w:r w:rsidR="00C80529" w:rsidRPr="009C3899">
        <w:rPr>
          <w:rFonts w:eastAsia="新細明體" w:cs="Calibri"/>
          <w:color w:val="0D0D0D"/>
          <w:lang w:eastAsia="zh-TW"/>
        </w:rPr>
        <w:t xml:space="preserve">, </w:t>
      </w:r>
      <w:r w:rsidR="00C80529" w:rsidRPr="00DE69FD">
        <w:rPr>
          <w:rFonts w:eastAsia="新細明體" w:cs="Calibri"/>
          <w:color w:val="0D0D0D"/>
          <w:lang w:eastAsia="zh-TW"/>
        </w:rPr>
        <w:t xml:space="preserve">NR; </w:t>
      </w:r>
      <w:r w:rsidR="002C13D8" w:rsidRPr="002C13D8">
        <w:rPr>
          <w:rFonts w:eastAsia="新細明體" w:cs="Calibri"/>
          <w:color w:val="0D0D0D"/>
          <w:lang w:eastAsia="zh-TW"/>
        </w:rPr>
        <w:t>Requirements for support of radio resource management</w:t>
      </w:r>
      <w:r w:rsidR="00C80529">
        <w:rPr>
          <w:rFonts w:eastAsia="新細明體" w:cs="Calibri"/>
          <w:color w:val="0D0D0D"/>
          <w:lang w:eastAsia="zh-TW"/>
        </w:rPr>
        <w:t>, V15.6</w:t>
      </w:r>
      <w:r w:rsidR="00C80529" w:rsidRPr="009C3899">
        <w:rPr>
          <w:rFonts w:eastAsia="新細明體" w:cs="Calibri"/>
          <w:color w:val="0D0D0D"/>
          <w:lang w:eastAsia="zh-TW"/>
        </w:rPr>
        <w:t>.0.</w:t>
      </w:r>
    </w:p>
    <w:p w:rsidR="008B201E" w:rsidRDefault="008B201E" w:rsidP="008B201E">
      <w:pPr>
        <w:rPr>
          <w:rFonts w:eastAsia="新細明體" w:cs="Calibri"/>
          <w:color w:val="0D0D0D"/>
          <w:lang w:eastAsia="zh-TW"/>
        </w:rPr>
      </w:pPr>
      <w:r>
        <w:rPr>
          <w:lang w:val="en-GB" w:eastAsia="en-US"/>
        </w:rPr>
        <w:t xml:space="preserve">[2] </w:t>
      </w:r>
      <w:r>
        <w:rPr>
          <w:rFonts w:eastAsia="新細明體" w:cs="Calibri"/>
          <w:color w:val="0D0D0D"/>
          <w:lang w:eastAsia="zh-TW"/>
        </w:rPr>
        <w:t>TS38.213</w:t>
      </w:r>
      <w:r w:rsidRPr="009C3899">
        <w:rPr>
          <w:rFonts w:eastAsia="新細明體" w:cs="Calibri"/>
          <w:color w:val="0D0D0D"/>
          <w:lang w:eastAsia="zh-TW"/>
        </w:rPr>
        <w:t xml:space="preserve">, </w:t>
      </w:r>
      <w:r w:rsidRPr="00DE69FD">
        <w:rPr>
          <w:rFonts w:eastAsia="新細明體" w:cs="Calibri"/>
          <w:color w:val="0D0D0D"/>
          <w:lang w:eastAsia="zh-TW"/>
        </w:rPr>
        <w:t xml:space="preserve">NR; </w:t>
      </w:r>
      <w:r w:rsidRPr="0066130C">
        <w:rPr>
          <w:rFonts w:eastAsia="新細明體" w:cs="Calibri"/>
          <w:color w:val="0D0D0D"/>
          <w:lang w:eastAsia="zh-TW"/>
        </w:rPr>
        <w:t>Physical layer procedures for control</w:t>
      </w:r>
      <w:r>
        <w:rPr>
          <w:rFonts w:eastAsia="新細明體" w:cs="Calibri"/>
          <w:color w:val="0D0D0D"/>
          <w:lang w:eastAsia="zh-TW"/>
        </w:rPr>
        <w:t>, V15.6</w:t>
      </w:r>
      <w:r w:rsidRPr="009C3899">
        <w:rPr>
          <w:rFonts w:eastAsia="新細明體" w:cs="Calibri"/>
          <w:color w:val="0D0D0D"/>
          <w:lang w:eastAsia="zh-TW"/>
        </w:rPr>
        <w:t>.0.</w:t>
      </w:r>
    </w:p>
    <w:p w:rsidR="008B201E" w:rsidRPr="008B201E" w:rsidRDefault="008B201E" w:rsidP="00C80529">
      <w:pPr>
        <w:rPr>
          <w:lang w:eastAsia="en-US"/>
        </w:rPr>
      </w:pPr>
    </w:p>
    <w:p w:rsidR="00C80529" w:rsidRPr="00D63646" w:rsidRDefault="00C80529" w:rsidP="00D63646">
      <w:pPr>
        <w:rPr>
          <w:lang w:val="en-GB" w:eastAsia="en-US"/>
        </w:rPr>
      </w:pPr>
    </w:p>
    <w:sectPr w:rsidR="00C80529" w:rsidRPr="00D6364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20C" w:rsidRDefault="00CF520C">
      <w:r>
        <w:separator/>
      </w:r>
    </w:p>
  </w:endnote>
  <w:endnote w:type="continuationSeparator" w:id="0">
    <w:p w:rsidR="00CF520C" w:rsidRDefault="00CF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20C" w:rsidRDefault="00CF520C">
      <w:r>
        <w:separator/>
      </w:r>
    </w:p>
  </w:footnote>
  <w:footnote w:type="continuationSeparator" w:id="0">
    <w:p w:rsidR="00CF520C" w:rsidRDefault="00CF52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E1BAC"/>
    <w:multiLevelType w:val="hybridMultilevel"/>
    <w:tmpl w:val="7236F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3"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19"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8"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1"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36"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37"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0"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3"/>
  </w:num>
  <w:num w:numId="2">
    <w:abstractNumId w:val="34"/>
  </w:num>
  <w:num w:numId="3">
    <w:abstractNumId w:val="16"/>
  </w:num>
  <w:num w:numId="4">
    <w:abstractNumId w:val="23"/>
  </w:num>
  <w:num w:numId="5">
    <w:abstractNumId w:val="25"/>
  </w:num>
  <w:num w:numId="6">
    <w:abstractNumId w:val="7"/>
  </w:num>
  <w:num w:numId="7">
    <w:abstractNumId w:val="15"/>
  </w:num>
  <w:num w:numId="8">
    <w:abstractNumId w:val="31"/>
  </w:num>
  <w:num w:numId="9">
    <w:abstractNumId w:val="13"/>
  </w:num>
  <w:num w:numId="10">
    <w:abstractNumId w:val="0"/>
  </w:num>
  <w:num w:numId="11">
    <w:abstractNumId w:val="14"/>
  </w:num>
  <w:num w:numId="12">
    <w:abstractNumId w:val="19"/>
  </w:num>
  <w:num w:numId="13">
    <w:abstractNumId w:val="4"/>
  </w:num>
  <w:num w:numId="14">
    <w:abstractNumId w:val="40"/>
  </w:num>
  <w:num w:numId="15">
    <w:abstractNumId w:val="12"/>
  </w:num>
  <w:num w:numId="16">
    <w:abstractNumId w:val="6"/>
  </w:num>
  <w:num w:numId="17">
    <w:abstractNumId w:val="28"/>
  </w:num>
  <w:num w:numId="18">
    <w:abstractNumId w:val="38"/>
  </w:num>
  <w:num w:numId="19">
    <w:abstractNumId w:val="17"/>
  </w:num>
  <w:num w:numId="20">
    <w:abstractNumId w:val="10"/>
  </w:num>
  <w:num w:numId="21">
    <w:abstractNumId w:val="37"/>
  </w:num>
  <w:num w:numId="22">
    <w:abstractNumId w:val="29"/>
  </w:num>
  <w:num w:numId="23">
    <w:abstractNumId w:val="8"/>
  </w:num>
  <w:num w:numId="24">
    <w:abstractNumId w:val="5"/>
  </w:num>
  <w:num w:numId="25">
    <w:abstractNumId w:val="22"/>
  </w:num>
  <w:num w:numId="26">
    <w:abstractNumId w:val="35"/>
  </w:num>
  <w:num w:numId="27">
    <w:abstractNumId w:val="27"/>
  </w:num>
  <w:num w:numId="28">
    <w:abstractNumId w:val="20"/>
  </w:num>
  <w:num w:numId="29">
    <w:abstractNumId w:val="21"/>
  </w:num>
  <w:num w:numId="30">
    <w:abstractNumId w:val="11"/>
  </w:num>
  <w:num w:numId="31">
    <w:abstractNumId w:val="32"/>
  </w:num>
  <w:num w:numId="32">
    <w:abstractNumId w:val="18"/>
  </w:num>
  <w:num w:numId="33">
    <w:abstractNumId w:val="2"/>
  </w:num>
  <w:num w:numId="34">
    <w:abstractNumId w:val="24"/>
  </w:num>
  <w:num w:numId="35">
    <w:abstractNumId w:val="41"/>
  </w:num>
  <w:num w:numId="36">
    <w:abstractNumId w:val="30"/>
  </w:num>
  <w:num w:numId="37">
    <w:abstractNumId w:val="39"/>
  </w:num>
  <w:num w:numId="38">
    <w:abstractNumId w:val="3"/>
  </w:num>
  <w:num w:numId="39">
    <w:abstractNumId w:val="9"/>
  </w:num>
  <w:num w:numId="40">
    <w:abstractNumId w:val="36"/>
  </w:num>
  <w:num w:numId="41">
    <w:abstractNumId w:val="26"/>
  </w:num>
  <w:num w:numId="4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4AE"/>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310"/>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ED4"/>
    <w:rsid w:val="006B4156"/>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7667"/>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01E"/>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6AA"/>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43D"/>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315"/>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44D"/>
    <w:rsid w:val="00B72521"/>
    <w:rsid w:val="00B7267A"/>
    <w:rsid w:val="00B7288F"/>
    <w:rsid w:val="00B72F96"/>
    <w:rsid w:val="00B73176"/>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8C0"/>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ACA"/>
    <w:rsid w:val="00C74B87"/>
    <w:rsid w:val="00C74E4F"/>
    <w:rsid w:val="00C75844"/>
    <w:rsid w:val="00C75949"/>
    <w:rsid w:val="00C765EF"/>
    <w:rsid w:val="00C76E32"/>
    <w:rsid w:val="00C7701D"/>
    <w:rsid w:val="00C77675"/>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20C"/>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996"/>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A7B"/>
    <w:rsid w:val="00F3423B"/>
    <w:rsid w:val="00F3430E"/>
    <w:rsid w:val="00F343E8"/>
    <w:rsid w:val="00F349F2"/>
    <w:rsid w:val="00F34A09"/>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27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48C0"/>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E48C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E48C0"/>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405D1-09E9-447E-B632-57D126416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588</Words>
  <Characters>3224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2019-08-13T01:54:00Z</dcterms:created>
  <dcterms:modified xsi:type="dcterms:W3CDTF">2019-08-16T08:36:00Z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